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ABF" w:rsidRPr="009D7D77" w:rsidRDefault="009D7D77" w:rsidP="009D7D77">
      <w:pPr>
        <w:pStyle w:val="Heading1"/>
        <w:rPr>
          <w:sz w:val="40"/>
        </w:rPr>
      </w:pPr>
      <w:r w:rsidRPr="009D7D77">
        <w:rPr>
          <w:sz w:val="40"/>
        </w:rPr>
        <w:t>Exercice 1</w:t>
      </w:r>
    </w:p>
    <w:p w:rsidR="009D7D77" w:rsidRDefault="009D7D77" w:rsidP="009D7D77">
      <w:pPr>
        <w:rPr>
          <w:sz w:val="28"/>
        </w:rPr>
      </w:pPr>
    </w:p>
    <w:p w:rsidR="002B2C52" w:rsidRDefault="002B2C52" w:rsidP="009D7D77">
      <w:pPr>
        <w:rPr>
          <w:sz w:val="28"/>
        </w:rPr>
      </w:pPr>
      <w:r>
        <w:rPr>
          <w:sz w:val="28"/>
        </w:rPr>
        <w:t>1/</w:t>
      </w:r>
    </w:p>
    <w:p w:rsidR="009D7D77" w:rsidRDefault="009D7D77" w:rsidP="009D7D77">
      <w:pPr>
        <w:rPr>
          <w:sz w:val="28"/>
        </w:rPr>
      </w:pPr>
      <w:r>
        <w:rPr>
          <w:sz w:val="28"/>
        </w:rPr>
        <w:t>A)</w:t>
      </w:r>
    </w:p>
    <w:p w:rsidR="00000000" w:rsidRPr="00AE05CC" w:rsidRDefault="009D7D77" w:rsidP="00AE05CC">
      <w:pPr>
        <w:rPr>
          <w:sz w:val="28"/>
        </w:rPr>
      </w:pPr>
      <w:r w:rsidRPr="00AE05CC">
        <w:rPr>
          <w:b/>
          <w:sz w:val="28"/>
        </w:rPr>
        <w:t>L’utilité totale</w:t>
      </w:r>
      <w:r>
        <w:rPr>
          <w:sz w:val="28"/>
        </w:rPr>
        <w:t xml:space="preserve"> correspond </w:t>
      </w:r>
      <w:r w:rsidR="00AE05CC">
        <w:rPr>
          <w:sz w:val="28"/>
        </w:rPr>
        <w:t>au</w:t>
      </w:r>
      <w:r w:rsidR="00205FC5" w:rsidRPr="00AE05CC">
        <w:rPr>
          <w:sz w:val="28"/>
        </w:rPr>
        <w:t xml:space="preserve"> niveau de satisfaction </w:t>
      </w:r>
      <w:r w:rsidR="00AE05CC">
        <w:rPr>
          <w:sz w:val="28"/>
        </w:rPr>
        <w:t xml:space="preserve">procuré par une certaine quantité </w:t>
      </w:r>
      <w:r w:rsidR="00205FC5" w:rsidRPr="00AE05CC">
        <w:rPr>
          <w:sz w:val="28"/>
        </w:rPr>
        <w:t>d'un</w:t>
      </w:r>
      <w:r w:rsidR="00205FC5" w:rsidRPr="00AE05CC">
        <w:rPr>
          <w:sz w:val="28"/>
        </w:rPr>
        <w:t xml:space="preserve"> bien.</w:t>
      </w:r>
    </w:p>
    <w:p w:rsidR="00BF3BD5" w:rsidRDefault="009D7D77" w:rsidP="00BF3BD5">
      <w:pPr>
        <w:rPr>
          <w:sz w:val="28"/>
        </w:rPr>
      </w:pPr>
      <w:r w:rsidRPr="009D7D77">
        <w:rPr>
          <w:b/>
          <w:bCs/>
          <w:sz w:val="28"/>
        </w:rPr>
        <w:t>L’utilité marginale</w:t>
      </w:r>
      <w:r w:rsidRPr="009D7D77">
        <w:rPr>
          <w:sz w:val="28"/>
        </w:rPr>
        <w:t xml:space="preserve"> </w:t>
      </w:r>
      <w:r w:rsidR="00562ABE">
        <w:rPr>
          <w:sz w:val="28"/>
        </w:rPr>
        <w:t xml:space="preserve">correspond au </w:t>
      </w:r>
      <w:r w:rsidRPr="009D7D77">
        <w:rPr>
          <w:sz w:val="28"/>
        </w:rPr>
        <w:t>supplément d’utilité que procure à l’individu un accroissement de la consommation d’un bien.</w:t>
      </w:r>
    </w:p>
    <w:p w:rsidR="00BF3BD5" w:rsidRDefault="00BF3BD5" w:rsidP="00BF3BD5">
      <w:pPr>
        <w:rPr>
          <w:sz w:val="28"/>
        </w:rPr>
      </w:pPr>
    </w:p>
    <w:p w:rsidR="00BF3BD5" w:rsidRDefault="00BF3BD5" w:rsidP="00BF3BD5">
      <w:pPr>
        <w:rPr>
          <w:sz w:val="28"/>
        </w:rPr>
      </w:pPr>
      <w:r>
        <w:rPr>
          <w:sz w:val="28"/>
        </w:rPr>
        <w:t>B)</w:t>
      </w:r>
    </w:p>
    <w:tbl>
      <w:tblPr>
        <w:tblStyle w:val="TableGrid"/>
        <w:tblW w:w="0" w:type="auto"/>
        <w:tblLook w:val="04A0" w:firstRow="1" w:lastRow="0" w:firstColumn="1" w:lastColumn="0" w:noHBand="0" w:noVBand="1"/>
      </w:tblPr>
      <w:tblGrid>
        <w:gridCol w:w="1812"/>
        <w:gridCol w:w="1812"/>
        <w:gridCol w:w="1812"/>
        <w:gridCol w:w="1813"/>
        <w:gridCol w:w="1813"/>
      </w:tblGrid>
      <w:tr w:rsidR="00BF3BD5" w:rsidRPr="00BF3BD5" w:rsidTr="004C289D">
        <w:tc>
          <w:tcPr>
            <w:tcW w:w="1812" w:type="dxa"/>
          </w:tcPr>
          <w:p w:rsidR="00BF3BD5" w:rsidRPr="00BF3BD5" w:rsidRDefault="00BF3BD5" w:rsidP="00BF3BD5">
            <w:pPr>
              <w:jc w:val="center"/>
            </w:pPr>
            <w:r w:rsidRPr="00BF3BD5">
              <w:t>Quantités</w:t>
            </w:r>
          </w:p>
        </w:tc>
        <w:tc>
          <w:tcPr>
            <w:tcW w:w="3624" w:type="dxa"/>
            <w:gridSpan w:val="2"/>
          </w:tcPr>
          <w:p w:rsidR="00BF3BD5" w:rsidRPr="00BF3BD5" w:rsidRDefault="00BF3BD5" w:rsidP="00BF3BD5">
            <w:pPr>
              <w:tabs>
                <w:tab w:val="left" w:pos="1215"/>
              </w:tabs>
            </w:pPr>
            <w:r w:rsidRPr="00BF3BD5">
              <w:t>Far breton (à l'unité)</w:t>
            </w:r>
            <w:r w:rsidRPr="00BF3BD5">
              <w:tab/>
            </w:r>
          </w:p>
        </w:tc>
        <w:tc>
          <w:tcPr>
            <w:tcW w:w="3626" w:type="dxa"/>
            <w:gridSpan w:val="2"/>
          </w:tcPr>
          <w:p w:rsidR="00BF3BD5" w:rsidRPr="00BF3BD5" w:rsidRDefault="00BF3BD5" w:rsidP="00BF3BD5">
            <w:r w:rsidRPr="00BF3BD5">
              <w:t>Chocolats (par 100 grammes)</w:t>
            </w:r>
          </w:p>
        </w:tc>
      </w:tr>
      <w:tr w:rsidR="00BF3BD5" w:rsidRPr="00BF3BD5" w:rsidTr="00BF3BD5">
        <w:tc>
          <w:tcPr>
            <w:tcW w:w="1812" w:type="dxa"/>
          </w:tcPr>
          <w:p w:rsidR="00BF3BD5" w:rsidRPr="00BF3BD5" w:rsidRDefault="00BF3BD5" w:rsidP="00BF3BD5"/>
        </w:tc>
        <w:tc>
          <w:tcPr>
            <w:tcW w:w="1812" w:type="dxa"/>
          </w:tcPr>
          <w:p w:rsidR="00BF3BD5" w:rsidRPr="00BF3BD5" w:rsidRDefault="00BF3BD5" w:rsidP="00BF3BD5">
            <w:r>
              <w:t>Utilit</w:t>
            </w:r>
            <w:r w:rsidRPr="00BF3BD5">
              <w:t>é marginale</w:t>
            </w:r>
          </w:p>
        </w:tc>
        <w:tc>
          <w:tcPr>
            <w:tcW w:w="1812" w:type="dxa"/>
          </w:tcPr>
          <w:p w:rsidR="00BF3BD5" w:rsidRPr="00BF3BD5" w:rsidRDefault="00BF3BD5" w:rsidP="00BF3BD5">
            <w:r w:rsidRPr="00BF3BD5">
              <w:t>Utilité totale</w:t>
            </w:r>
          </w:p>
        </w:tc>
        <w:tc>
          <w:tcPr>
            <w:tcW w:w="1813" w:type="dxa"/>
          </w:tcPr>
          <w:p w:rsidR="00BF3BD5" w:rsidRPr="00BF3BD5" w:rsidRDefault="00BF3BD5" w:rsidP="00BF3BD5">
            <w:r>
              <w:t>Utilité marginale</w:t>
            </w:r>
          </w:p>
        </w:tc>
        <w:tc>
          <w:tcPr>
            <w:tcW w:w="1813" w:type="dxa"/>
          </w:tcPr>
          <w:p w:rsidR="00BF3BD5" w:rsidRPr="00BF3BD5" w:rsidRDefault="00BF3BD5" w:rsidP="00BF3BD5">
            <w:r>
              <w:t>Utilité Totale</w:t>
            </w:r>
          </w:p>
        </w:tc>
      </w:tr>
      <w:tr w:rsidR="00BF3BD5" w:rsidRPr="00BF3BD5" w:rsidTr="00BF3BD5">
        <w:tc>
          <w:tcPr>
            <w:tcW w:w="1812" w:type="dxa"/>
          </w:tcPr>
          <w:p w:rsidR="00BF3BD5" w:rsidRPr="00BF3BD5" w:rsidRDefault="00BF3BD5" w:rsidP="00BF3BD5">
            <w:r w:rsidRPr="00BF3BD5">
              <w:t>1</w:t>
            </w:r>
          </w:p>
        </w:tc>
        <w:tc>
          <w:tcPr>
            <w:tcW w:w="1812" w:type="dxa"/>
          </w:tcPr>
          <w:p w:rsidR="00BF3BD5" w:rsidRPr="00BF3BD5" w:rsidRDefault="00145D66" w:rsidP="00BF3BD5">
            <w:r>
              <w:t>6</w:t>
            </w:r>
          </w:p>
        </w:tc>
        <w:tc>
          <w:tcPr>
            <w:tcW w:w="1812" w:type="dxa"/>
          </w:tcPr>
          <w:p w:rsidR="00BF3BD5" w:rsidRPr="00BF3BD5" w:rsidRDefault="00E84FA6" w:rsidP="00BF3BD5">
            <w:r>
              <w:t>6</w:t>
            </w:r>
          </w:p>
        </w:tc>
        <w:tc>
          <w:tcPr>
            <w:tcW w:w="1813" w:type="dxa"/>
          </w:tcPr>
          <w:p w:rsidR="00BF3BD5" w:rsidRPr="00BF3BD5" w:rsidRDefault="00E84FA6" w:rsidP="00BF3BD5">
            <w:r>
              <w:t>10</w:t>
            </w:r>
          </w:p>
        </w:tc>
        <w:tc>
          <w:tcPr>
            <w:tcW w:w="1813" w:type="dxa"/>
          </w:tcPr>
          <w:p w:rsidR="00BF3BD5" w:rsidRPr="00BF3BD5" w:rsidRDefault="00145D66" w:rsidP="00BF3BD5">
            <w:r>
              <w:t>10</w:t>
            </w:r>
          </w:p>
        </w:tc>
      </w:tr>
      <w:tr w:rsidR="00BF3BD5" w:rsidRPr="00BF3BD5" w:rsidTr="00BF3BD5">
        <w:tc>
          <w:tcPr>
            <w:tcW w:w="1812" w:type="dxa"/>
          </w:tcPr>
          <w:p w:rsidR="00BF3BD5" w:rsidRPr="00BF3BD5" w:rsidRDefault="00BF3BD5" w:rsidP="00BF3BD5">
            <w:r w:rsidRPr="00BF3BD5">
              <w:t>2</w:t>
            </w:r>
          </w:p>
        </w:tc>
        <w:tc>
          <w:tcPr>
            <w:tcW w:w="1812" w:type="dxa"/>
          </w:tcPr>
          <w:p w:rsidR="00BF3BD5" w:rsidRPr="00BF3BD5" w:rsidRDefault="00145D66" w:rsidP="00BF3BD5">
            <w:r>
              <w:t>4</w:t>
            </w:r>
          </w:p>
        </w:tc>
        <w:tc>
          <w:tcPr>
            <w:tcW w:w="1812" w:type="dxa"/>
          </w:tcPr>
          <w:p w:rsidR="00BF3BD5" w:rsidRPr="00BF3BD5" w:rsidRDefault="00E84FA6" w:rsidP="00BF3BD5">
            <w:r>
              <w:t>10</w:t>
            </w:r>
          </w:p>
        </w:tc>
        <w:tc>
          <w:tcPr>
            <w:tcW w:w="1813" w:type="dxa"/>
          </w:tcPr>
          <w:p w:rsidR="00BF3BD5" w:rsidRPr="00BF3BD5" w:rsidRDefault="00E84FA6" w:rsidP="00BF3BD5">
            <w:r>
              <w:t>8</w:t>
            </w:r>
          </w:p>
        </w:tc>
        <w:tc>
          <w:tcPr>
            <w:tcW w:w="1813" w:type="dxa"/>
          </w:tcPr>
          <w:p w:rsidR="00BF3BD5" w:rsidRPr="00BF3BD5" w:rsidRDefault="00145D66" w:rsidP="00BF3BD5">
            <w:r>
              <w:t>18</w:t>
            </w:r>
          </w:p>
        </w:tc>
      </w:tr>
      <w:tr w:rsidR="00BF3BD5" w:rsidRPr="00BF3BD5" w:rsidTr="00BF3BD5">
        <w:tc>
          <w:tcPr>
            <w:tcW w:w="1812" w:type="dxa"/>
          </w:tcPr>
          <w:p w:rsidR="00BF3BD5" w:rsidRPr="00BF3BD5" w:rsidRDefault="00BF3BD5" w:rsidP="00BF3BD5">
            <w:r w:rsidRPr="00BF3BD5">
              <w:t>3</w:t>
            </w:r>
          </w:p>
        </w:tc>
        <w:tc>
          <w:tcPr>
            <w:tcW w:w="1812" w:type="dxa"/>
          </w:tcPr>
          <w:p w:rsidR="00BF3BD5" w:rsidRPr="00BF3BD5" w:rsidRDefault="00145D66" w:rsidP="00BF3BD5">
            <w:r>
              <w:t>3</w:t>
            </w:r>
          </w:p>
        </w:tc>
        <w:tc>
          <w:tcPr>
            <w:tcW w:w="1812" w:type="dxa"/>
          </w:tcPr>
          <w:p w:rsidR="00BF3BD5" w:rsidRPr="00BF3BD5" w:rsidRDefault="00E84FA6" w:rsidP="00BF3BD5">
            <w:r>
              <w:t>13</w:t>
            </w:r>
          </w:p>
        </w:tc>
        <w:tc>
          <w:tcPr>
            <w:tcW w:w="1813" w:type="dxa"/>
          </w:tcPr>
          <w:p w:rsidR="00BF3BD5" w:rsidRPr="00BF3BD5" w:rsidRDefault="00E84FA6" w:rsidP="00BF3BD5">
            <w:r>
              <w:t>6</w:t>
            </w:r>
          </w:p>
        </w:tc>
        <w:tc>
          <w:tcPr>
            <w:tcW w:w="1813" w:type="dxa"/>
          </w:tcPr>
          <w:p w:rsidR="00BF3BD5" w:rsidRPr="00BF3BD5" w:rsidRDefault="00145D66" w:rsidP="00BF3BD5">
            <w:r>
              <w:t>24</w:t>
            </w:r>
          </w:p>
        </w:tc>
      </w:tr>
      <w:tr w:rsidR="00BF3BD5" w:rsidRPr="00BF3BD5" w:rsidTr="00BF3BD5">
        <w:tc>
          <w:tcPr>
            <w:tcW w:w="1812" w:type="dxa"/>
          </w:tcPr>
          <w:p w:rsidR="00BF3BD5" w:rsidRPr="00BF3BD5" w:rsidRDefault="00BF3BD5" w:rsidP="00BF3BD5">
            <w:r w:rsidRPr="00BF3BD5">
              <w:t>4</w:t>
            </w:r>
          </w:p>
        </w:tc>
        <w:tc>
          <w:tcPr>
            <w:tcW w:w="1812" w:type="dxa"/>
          </w:tcPr>
          <w:p w:rsidR="00BF3BD5" w:rsidRPr="00BF3BD5" w:rsidRDefault="00145D66" w:rsidP="00BF3BD5">
            <w:r>
              <w:t>2.5</w:t>
            </w:r>
          </w:p>
        </w:tc>
        <w:tc>
          <w:tcPr>
            <w:tcW w:w="1812" w:type="dxa"/>
          </w:tcPr>
          <w:p w:rsidR="00BF3BD5" w:rsidRPr="00BF3BD5" w:rsidRDefault="00E84FA6" w:rsidP="00BF3BD5">
            <w:r>
              <w:t>15.5</w:t>
            </w:r>
          </w:p>
        </w:tc>
        <w:tc>
          <w:tcPr>
            <w:tcW w:w="1813" w:type="dxa"/>
          </w:tcPr>
          <w:p w:rsidR="00BF3BD5" w:rsidRPr="00BF3BD5" w:rsidRDefault="00E84FA6" w:rsidP="00BF3BD5">
            <w:r>
              <w:t>4</w:t>
            </w:r>
          </w:p>
        </w:tc>
        <w:tc>
          <w:tcPr>
            <w:tcW w:w="1813" w:type="dxa"/>
          </w:tcPr>
          <w:p w:rsidR="00BF3BD5" w:rsidRPr="00BF3BD5" w:rsidRDefault="00145D66" w:rsidP="00BF3BD5">
            <w:r>
              <w:t>28</w:t>
            </w:r>
          </w:p>
        </w:tc>
      </w:tr>
      <w:tr w:rsidR="00BF3BD5" w:rsidRPr="00BF3BD5" w:rsidTr="00BF3BD5">
        <w:tc>
          <w:tcPr>
            <w:tcW w:w="1812" w:type="dxa"/>
          </w:tcPr>
          <w:p w:rsidR="00BF3BD5" w:rsidRPr="00BF3BD5" w:rsidRDefault="00BF3BD5" w:rsidP="00BF3BD5">
            <w:r w:rsidRPr="00BF3BD5">
              <w:t>5</w:t>
            </w:r>
          </w:p>
        </w:tc>
        <w:tc>
          <w:tcPr>
            <w:tcW w:w="1812" w:type="dxa"/>
          </w:tcPr>
          <w:p w:rsidR="00BF3BD5" w:rsidRPr="00BF3BD5" w:rsidRDefault="00145D66" w:rsidP="00BF3BD5">
            <w:r>
              <w:t>2</w:t>
            </w:r>
          </w:p>
        </w:tc>
        <w:tc>
          <w:tcPr>
            <w:tcW w:w="1812" w:type="dxa"/>
          </w:tcPr>
          <w:p w:rsidR="00BF3BD5" w:rsidRPr="00BF3BD5" w:rsidRDefault="00E84FA6" w:rsidP="00BF3BD5">
            <w:r>
              <w:t>17.5</w:t>
            </w:r>
          </w:p>
        </w:tc>
        <w:tc>
          <w:tcPr>
            <w:tcW w:w="1813" w:type="dxa"/>
          </w:tcPr>
          <w:p w:rsidR="00BF3BD5" w:rsidRPr="00BF3BD5" w:rsidRDefault="00E84FA6" w:rsidP="00BF3BD5">
            <w:r>
              <w:t>2</w:t>
            </w:r>
          </w:p>
        </w:tc>
        <w:tc>
          <w:tcPr>
            <w:tcW w:w="1813" w:type="dxa"/>
          </w:tcPr>
          <w:p w:rsidR="00BF3BD5" w:rsidRPr="00BF3BD5" w:rsidRDefault="00145D66" w:rsidP="00BF3BD5">
            <w:r>
              <w:t>30</w:t>
            </w:r>
          </w:p>
        </w:tc>
      </w:tr>
      <w:tr w:rsidR="00BF3BD5" w:rsidRPr="00BF3BD5" w:rsidTr="00BF3BD5">
        <w:tc>
          <w:tcPr>
            <w:tcW w:w="1812" w:type="dxa"/>
          </w:tcPr>
          <w:p w:rsidR="00BF3BD5" w:rsidRPr="00BF3BD5" w:rsidRDefault="00BF3BD5" w:rsidP="00BF3BD5">
            <w:r w:rsidRPr="00BF3BD5">
              <w:t>6</w:t>
            </w:r>
          </w:p>
        </w:tc>
        <w:tc>
          <w:tcPr>
            <w:tcW w:w="1812" w:type="dxa"/>
          </w:tcPr>
          <w:p w:rsidR="00BF3BD5" w:rsidRPr="00BF3BD5" w:rsidRDefault="00145D66" w:rsidP="00BF3BD5">
            <w:r>
              <w:t>0.5</w:t>
            </w:r>
          </w:p>
        </w:tc>
        <w:tc>
          <w:tcPr>
            <w:tcW w:w="1812" w:type="dxa"/>
          </w:tcPr>
          <w:p w:rsidR="00BF3BD5" w:rsidRPr="00BF3BD5" w:rsidRDefault="00E84FA6" w:rsidP="00BF3BD5">
            <w:r>
              <w:t>18</w:t>
            </w:r>
          </w:p>
        </w:tc>
        <w:tc>
          <w:tcPr>
            <w:tcW w:w="1813" w:type="dxa"/>
          </w:tcPr>
          <w:p w:rsidR="00BF3BD5" w:rsidRPr="00BF3BD5" w:rsidRDefault="00E84FA6" w:rsidP="00BF3BD5">
            <w:r>
              <w:t>1</w:t>
            </w:r>
          </w:p>
        </w:tc>
        <w:tc>
          <w:tcPr>
            <w:tcW w:w="1813" w:type="dxa"/>
          </w:tcPr>
          <w:p w:rsidR="00BF3BD5" w:rsidRPr="00BF3BD5" w:rsidRDefault="00145D66" w:rsidP="00BF3BD5">
            <w:r>
              <w:t>31</w:t>
            </w:r>
          </w:p>
        </w:tc>
      </w:tr>
    </w:tbl>
    <w:p w:rsidR="00BF3BD5" w:rsidRDefault="00BF3BD5" w:rsidP="00BF3BD5">
      <w:pPr>
        <w:rPr>
          <w:sz w:val="28"/>
        </w:rPr>
      </w:pPr>
    </w:p>
    <w:p w:rsidR="00E84FA6" w:rsidRDefault="00E84FA6" w:rsidP="00BF3BD5">
      <w:pPr>
        <w:rPr>
          <w:sz w:val="28"/>
        </w:rPr>
      </w:pPr>
      <w:r>
        <w:rPr>
          <w:sz w:val="28"/>
        </w:rPr>
        <w:t>C)</w:t>
      </w:r>
    </w:p>
    <w:p w:rsidR="00E84FA6" w:rsidRDefault="00E84FA6" w:rsidP="00BF3BD5">
      <w:pPr>
        <w:rPr>
          <w:sz w:val="28"/>
        </w:rPr>
      </w:pPr>
      <w:r>
        <w:rPr>
          <w:sz w:val="28"/>
        </w:rPr>
        <w:t>Du au principe de satiété, il semble peu probable que la courbe de l’utilité marginale soit croissante à un moment.</w:t>
      </w:r>
    </w:p>
    <w:p w:rsidR="00E84FA6" w:rsidRDefault="00E84FA6" w:rsidP="00BF3BD5">
      <w:pPr>
        <w:rPr>
          <w:sz w:val="28"/>
        </w:rPr>
      </w:pPr>
      <w:r>
        <w:rPr>
          <w:sz w:val="28"/>
        </w:rPr>
        <w:t xml:space="preserve">D) L’utilité marginale ne semble pas pouvoir être négative, sinon </w:t>
      </w:r>
      <w:r w:rsidRPr="00E84FA6">
        <w:rPr>
          <w:sz w:val="28"/>
        </w:rPr>
        <w:t>l’hypothèse « plus est préféré à moins »</w:t>
      </w:r>
      <w:r>
        <w:rPr>
          <w:sz w:val="28"/>
        </w:rPr>
        <w:t xml:space="preserve"> ne serait plus valide (on associera à une quantité supplémentaire une utilité totale plus faible).</w:t>
      </w:r>
    </w:p>
    <w:p w:rsidR="00E84FA6" w:rsidRDefault="00E84FA6" w:rsidP="00BF3BD5">
      <w:pPr>
        <w:rPr>
          <w:sz w:val="28"/>
        </w:rPr>
      </w:pPr>
      <w:r>
        <w:rPr>
          <w:sz w:val="28"/>
        </w:rPr>
        <w:t>E)</w:t>
      </w:r>
    </w:p>
    <w:tbl>
      <w:tblPr>
        <w:tblStyle w:val="TableGrid"/>
        <w:tblW w:w="0" w:type="auto"/>
        <w:tblLook w:val="04A0" w:firstRow="1" w:lastRow="0" w:firstColumn="1" w:lastColumn="0" w:noHBand="0" w:noVBand="1"/>
      </w:tblPr>
      <w:tblGrid>
        <w:gridCol w:w="1012"/>
        <w:gridCol w:w="1012"/>
        <w:gridCol w:w="1013"/>
        <w:gridCol w:w="1013"/>
        <w:gridCol w:w="1014"/>
        <w:gridCol w:w="1014"/>
        <w:gridCol w:w="1014"/>
        <w:gridCol w:w="1014"/>
      </w:tblGrid>
      <w:tr w:rsidR="00E84FA6" w:rsidTr="003112B3">
        <w:tc>
          <w:tcPr>
            <w:tcW w:w="2024" w:type="dxa"/>
            <w:gridSpan w:val="2"/>
          </w:tcPr>
          <w:p w:rsidR="00E84FA6" w:rsidRDefault="00E84FA6" w:rsidP="00E84FA6">
            <w:r>
              <w:t>Utilité totale = 10</w:t>
            </w:r>
          </w:p>
        </w:tc>
        <w:tc>
          <w:tcPr>
            <w:tcW w:w="2026" w:type="dxa"/>
            <w:gridSpan w:val="2"/>
          </w:tcPr>
          <w:p w:rsidR="00E84FA6" w:rsidRDefault="00E84FA6" w:rsidP="00E84FA6">
            <w:r>
              <w:t>Utilité totale=18</w:t>
            </w:r>
          </w:p>
        </w:tc>
        <w:tc>
          <w:tcPr>
            <w:tcW w:w="2028" w:type="dxa"/>
            <w:gridSpan w:val="2"/>
          </w:tcPr>
          <w:p w:rsidR="00E84FA6" w:rsidRDefault="00E84FA6" w:rsidP="00E84FA6">
            <w:r>
              <w:t>Utilité totale=24</w:t>
            </w:r>
          </w:p>
        </w:tc>
        <w:tc>
          <w:tcPr>
            <w:tcW w:w="2028" w:type="dxa"/>
            <w:gridSpan w:val="2"/>
          </w:tcPr>
          <w:p w:rsidR="00E84FA6" w:rsidRDefault="00E84FA6" w:rsidP="00E84FA6">
            <w:r>
              <w:t>Utilité totale=28</w:t>
            </w:r>
          </w:p>
        </w:tc>
      </w:tr>
      <w:tr w:rsidR="00E84FA6" w:rsidTr="00225943">
        <w:tc>
          <w:tcPr>
            <w:tcW w:w="1012" w:type="dxa"/>
          </w:tcPr>
          <w:p w:rsidR="00E84FA6" w:rsidRDefault="00E84FA6" w:rsidP="00E84FA6">
            <w:r>
              <w:t>Far breton</w:t>
            </w:r>
          </w:p>
        </w:tc>
        <w:tc>
          <w:tcPr>
            <w:tcW w:w="1012" w:type="dxa"/>
          </w:tcPr>
          <w:p w:rsidR="00E84FA6" w:rsidRDefault="00E84FA6" w:rsidP="00E84FA6">
            <w:r>
              <w:t>Chocolat</w:t>
            </w:r>
          </w:p>
        </w:tc>
        <w:tc>
          <w:tcPr>
            <w:tcW w:w="1013" w:type="dxa"/>
          </w:tcPr>
          <w:p w:rsidR="00E84FA6" w:rsidRDefault="00E84FA6" w:rsidP="00E84FA6">
            <w:r>
              <w:t>Far breton</w:t>
            </w:r>
          </w:p>
        </w:tc>
        <w:tc>
          <w:tcPr>
            <w:tcW w:w="1013" w:type="dxa"/>
          </w:tcPr>
          <w:p w:rsidR="00E84FA6" w:rsidRDefault="00E84FA6" w:rsidP="00E84FA6">
            <w:r>
              <w:t>Chocolat</w:t>
            </w:r>
          </w:p>
        </w:tc>
        <w:tc>
          <w:tcPr>
            <w:tcW w:w="1014" w:type="dxa"/>
          </w:tcPr>
          <w:p w:rsidR="00E84FA6" w:rsidRDefault="00E84FA6" w:rsidP="00E84FA6">
            <w:r>
              <w:t>Far Breton</w:t>
            </w:r>
          </w:p>
        </w:tc>
        <w:tc>
          <w:tcPr>
            <w:tcW w:w="1014" w:type="dxa"/>
          </w:tcPr>
          <w:p w:rsidR="00E84FA6" w:rsidRDefault="00E84FA6" w:rsidP="00E84FA6">
            <w:r>
              <w:t>Chocolat</w:t>
            </w:r>
          </w:p>
        </w:tc>
        <w:tc>
          <w:tcPr>
            <w:tcW w:w="1014" w:type="dxa"/>
          </w:tcPr>
          <w:p w:rsidR="00E84FA6" w:rsidRDefault="00E84FA6" w:rsidP="00E84FA6">
            <w:r>
              <w:t>Far Breton</w:t>
            </w:r>
          </w:p>
        </w:tc>
        <w:tc>
          <w:tcPr>
            <w:tcW w:w="1014" w:type="dxa"/>
          </w:tcPr>
          <w:p w:rsidR="00E84FA6" w:rsidRDefault="00E84FA6" w:rsidP="00E84FA6">
            <w:r>
              <w:t>Chocolat</w:t>
            </w:r>
          </w:p>
        </w:tc>
      </w:tr>
      <w:tr w:rsidR="00E84FA6" w:rsidTr="00225943">
        <w:tc>
          <w:tcPr>
            <w:tcW w:w="1012" w:type="dxa"/>
          </w:tcPr>
          <w:p w:rsidR="00E84FA6" w:rsidRDefault="00E84FA6" w:rsidP="00E84FA6">
            <w:r>
              <w:t>2</w:t>
            </w:r>
          </w:p>
          <w:p w:rsidR="00E84FA6" w:rsidRDefault="00E84FA6" w:rsidP="00E84FA6">
            <w:r>
              <w:t>0</w:t>
            </w:r>
          </w:p>
        </w:tc>
        <w:tc>
          <w:tcPr>
            <w:tcW w:w="1012" w:type="dxa"/>
          </w:tcPr>
          <w:p w:rsidR="00E84FA6" w:rsidRDefault="00E84FA6" w:rsidP="00E84FA6">
            <w:r>
              <w:t>0</w:t>
            </w:r>
          </w:p>
          <w:p w:rsidR="00E84FA6" w:rsidRDefault="00E84FA6" w:rsidP="00E84FA6">
            <w:r>
              <w:t>1</w:t>
            </w:r>
          </w:p>
        </w:tc>
        <w:tc>
          <w:tcPr>
            <w:tcW w:w="1013" w:type="dxa"/>
          </w:tcPr>
          <w:p w:rsidR="00E84FA6" w:rsidRDefault="00E84FA6" w:rsidP="00E84FA6">
            <w:r>
              <w:t>0</w:t>
            </w:r>
          </w:p>
          <w:p w:rsidR="00E84FA6" w:rsidRDefault="00E84FA6" w:rsidP="00E84FA6">
            <w:r>
              <w:t>6</w:t>
            </w:r>
          </w:p>
        </w:tc>
        <w:tc>
          <w:tcPr>
            <w:tcW w:w="1013" w:type="dxa"/>
          </w:tcPr>
          <w:p w:rsidR="00E84FA6" w:rsidRDefault="00E84FA6" w:rsidP="00E84FA6">
            <w:r>
              <w:t>2</w:t>
            </w:r>
          </w:p>
          <w:p w:rsidR="00E84FA6" w:rsidRDefault="00E84FA6" w:rsidP="00E84FA6">
            <w:r>
              <w:t>0</w:t>
            </w:r>
          </w:p>
        </w:tc>
        <w:tc>
          <w:tcPr>
            <w:tcW w:w="1014" w:type="dxa"/>
          </w:tcPr>
          <w:p w:rsidR="00E84FA6" w:rsidRDefault="0078564E" w:rsidP="00E84FA6">
            <w:r>
              <w:t>0</w:t>
            </w:r>
          </w:p>
          <w:p w:rsidR="0078564E" w:rsidRDefault="0078564E" w:rsidP="00E84FA6">
            <w:r>
              <w:t>1</w:t>
            </w:r>
          </w:p>
        </w:tc>
        <w:tc>
          <w:tcPr>
            <w:tcW w:w="1014" w:type="dxa"/>
          </w:tcPr>
          <w:p w:rsidR="00E84FA6" w:rsidRDefault="0078564E" w:rsidP="00E84FA6">
            <w:r>
              <w:t>3</w:t>
            </w:r>
          </w:p>
          <w:p w:rsidR="0078564E" w:rsidRDefault="0078564E" w:rsidP="00E84FA6">
            <w:r>
              <w:t>2</w:t>
            </w:r>
          </w:p>
        </w:tc>
        <w:tc>
          <w:tcPr>
            <w:tcW w:w="1014" w:type="dxa"/>
          </w:tcPr>
          <w:p w:rsidR="00E84FA6" w:rsidRDefault="0078564E" w:rsidP="00E84FA6">
            <w:r>
              <w:t>0</w:t>
            </w:r>
          </w:p>
          <w:p w:rsidR="0078564E" w:rsidRDefault="0078564E" w:rsidP="00E84FA6">
            <w:r>
              <w:t>2</w:t>
            </w:r>
          </w:p>
          <w:p w:rsidR="0078564E" w:rsidRDefault="0078564E" w:rsidP="00E84FA6">
            <w:r>
              <w:t>6</w:t>
            </w:r>
          </w:p>
        </w:tc>
        <w:tc>
          <w:tcPr>
            <w:tcW w:w="1014" w:type="dxa"/>
          </w:tcPr>
          <w:p w:rsidR="00E84FA6" w:rsidRDefault="0078564E" w:rsidP="00E84FA6">
            <w:r>
              <w:t>4</w:t>
            </w:r>
          </w:p>
          <w:p w:rsidR="0078564E" w:rsidRDefault="0078564E" w:rsidP="00E84FA6">
            <w:r>
              <w:t>2</w:t>
            </w:r>
          </w:p>
          <w:p w:rsidR="0078564E" w:rsidRDefault="0078564E" w:rsidP="00E84FA6">
            <w:r>
              <w:t>1</w:t>
            </w:r>
          </w:p>
        </w:tc>
      </w:tr>
    </w:tbl>
    <w:p w:rsidR="0078564E" w:rsidRDefault="0078564E" w:rsidP="00BF3BD5">
      <w:pPr>
        <w:rPr>
          <w:sz w:val="28"/>
          <w:szCs w:val="28"/>
        </w:rPr>
      </w:pPr>
      <w:r>
        <w:rPr>
          <w:sz w:val="28"/>
          <w:szCs w:val="28"/>
        </w:rPr>
        <w:br/>
      </w:r>
    </w:p>
    <w:p w:rsidR="0078564E" w:rsidRDefault="0078564E" w:rsidP="00BF3BD5">
      <w:pPr>
        <w:rPr>
          <w:sz w:val="28"/>
          <w:szCs w:val="28"/>
        </w:rPr>
      </w:pPr>
      <w:r>
        <w:rPr>
          <w:sz w:val="28"/>
          <w:szCs w:val="28"/>
        </w:rPr>
        <w:lastRenderedPageBreak/>
        <w:t>F)</w:t>
      </w:r>
      <w:r w:rsidR="00EF63EC">
        <w:rPr>
          <w:sz w:val="28"/>
          <w:szCs w:val="28"/>
        </w:rPr>
        <w:t xml:space="preserve"> </w:t>
      </w:r>
      <w:r w:rsidR="00EF63EC" w:rsidRPr="00EF63EC">
        <w:rPr>
          <w:sz w:val="28"/>
          <w:szCs w:val="28"/>
        </w:rPr>
        <w:t>Les courbes d’indifférence représentent toutes les combinaisons</w:t>
      </w:r>
      <w:r w:rsidR="00EF63EC">
        <w:rPr>
          <w:sz w:val="28"/>
          <w:szCs w:val="28"/>
        </w:rPr>
        <w:t xml:space="preserve"> de paniers de biens </w:t>
      </w:r>
      <w:r w:rsidR="00EF63EC" w:rsidRPr="00EF63EC">
        <w:rPr>
          <w:sz w:val="28"/>
          <w:szCs w:val="28"/>
        </w:rPr>
        <w:t>qui procure</w:t>
      </w:r>
      <w:r w:rsidR="00EF63EC">
        <w:rPr>
          <w:sz w:val="28"/>
          <w:szCs w:val="28"/>
        </w:rPr>
        <w:t>nt la même satisfaction au consommateur</w:t>
      </w:r>
      <w:r w:rsidR="00EF63EC" w:rsidRPr="00EF63EC">
        <w:rPr>
          <w:sz w:val="28"/>
          <w:szCs w:val="28"/>
        </w:rPr>
        <w:t>.</w:t>
      </w:r>
    </w:p>
    <w:p w:rsidR="00EF63EC" w:rsidRDefault="00EF63EC" w:rsidP="00BF3BD5">
      <w:pPr>
        <w:rPr>
          <w:sz w:val="28"/>
          <w:szCs w:val="28"/>
        </w:rPr>
      </w:pPr>
      <w:r>
        <w:rPr>
          <w:sz w:val="28"/>
          <w:szCs w:val="28"/>
        </w:rPr>
        <w:t>G)</w:t>
      </w:r>
    </w:p>
    <w:p w:rsidR="0078564E" w:rsidRDefault="0078564E" w:rsidP="00BF3BD5">
      <w:pPr>
        <w:rPr>
          <w:sz w:val="28"/>
          <w:szCs w:val="28"/>
        </w:rPr>
      </w:pPr>
      <w:r>
        <w:rPr>
          <w:noProof/>
          <w:lang w:eastAsia="fr-FR"/>
        </w:rPr>
        <w:drawing>
          <wp:inline distT="0" distB="0" distL="0" distR="0" wp14:anchorId="4279D85A" wp14:editId="55703252">
            <wp:extent cx="5760720" cy="3295015"/>
            <wp:effectExtent l="0" t="0" r="11430" b="6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B2C52" w:rsidRDefault="002B2C52" w:rsidP="00BF3BD5">
      <w:pPr>
        <w:rPr>
          <w:sz w:val="28"/>
          <w:szCs w:val="28"/>
        </w:rPr>
      </w:pPr>
    </w:p>
    <w:p w:rsidR="002B2C52" w:rsidRDefault="002B2C52" w:rsidP="00BF3BD5">
      <w:pPr>
        <w:rPr>
          <w:sz w:val="28"/>
          <w:szCs w:val="28"/>
        </w:rPr>
      </w:pPr>
      <w:r>
        <w:rPr>
          <w:sz w:val="28"/>
          <w:szCs w:val="28"/>
        </w:rPr>
        <w:t>2/</w:t>
      </w:r>
    </w:p>
    <w:p w:rsidR="002B2C52" w:rsidRDefault="002B2C52" w:rsidP="00BF3BD5">
      <w:pPr>
        <w:rPr>
          <w:sz w:val="28"/>
          <w:szCs w:val="28"/>
        </w:rPr>
      </w:pPr>
      <w:r>
        <w:rPr>
          <w:sz w:val="28"/>
          <w:szCs w:val="28"/>
        </w:rPr>
        <w:t>A)</w:t>
      </w:r>
    </w:p>
    <w:p w:rsidR="002B2C52" w:rsidRDefault="002B2C52" w:rsidP="00BF3BD5">
      <w:pPr>
        <w:rPr>
          <w:sz w:val="28"/>
          <w:szCs w:val="28"/>
        </w:rPr>
      </w:pPr>
      <w:r>
        <w:rPr>
          <w:sz w:val="28"/>
          <w:szCs w:val="28"/>
        </w:rPr>
        <w:t>1*F+2*C = 5</w:t>
      </w:r>
    </w:p>
    <w:p w:rsidR="002B2C52" w:rsidRDefault="002B2C52" w:rsidP="00BF3BD5">
      <w:pPr>
        <w:rPr>
          <w:sz w:val="28"/>
          <w:szCs w:val="28"/>
        </w:rPr>
      </w:pPr>
      <w:r>
        <w:rPr>
          <w:sz w:val="28"/>
          <w:szCs w:val="28"/>
        </w:rPr>
        <w:t>Avec F la quantité de Far Breton (à l’unité) et C la quantité de chocolats (par 100 grammes)</w:t>
      </w:r>
    </w:p>
    <w:p w:rsidR="00BC6930" w:rsidRDefault="00BC6930" w:rsidP="00BF3BD5">
      <w:pPr>
        <w:rPr>
          <w:sz w:val="28"/>
          <w:szCs w:val="28"/>
        </w:rPr>
      </w:pPr>
      <w:r>
        <w:rPr>
          <w:sz w:val="28"/>
          <w:szCs w:val="28"/>
        </w:rPr>
        <w:lastRenderedPageBreak/>
        <w:t>B)</w:t>
      </w:r>
      <w:r w:rsidR="00EB23B6" w:rsidRPr="00EB23B6">
        <w:rPr>
          <w:noProof/>
          <w:lang w:eastAsia="fr-FR"/>
        </w:rPr>
        <w:t xml:space="preserve"> </w:t>
      </w:r>
      <w:r w:rsidR="00EB23B6">
        <w:rPr>
          <w:noProof/>
          <w:lang w:eastAsia="fr-FR"/>
        </w:rPr>
        <w:drawing>
          <wp:inline distT="0" distB="0" distL="0" distR="0" wp14:anchorId="15214C1B" wp14:editId="7A303FEE">
            <wp:extent cx="6543675" cy="3362960"/>
            <wp:effectExtent l="0" t="0" r="9525"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C6930" w:rsidRDefault="00BC6930" w:rsidP="00BF3BD5">
      <w:pPr>
        <w:rPr>
          <w:sz w:val="28"/>
          <w:szCs w:val="28"/>
        </w:rPr>
      </w:pPr>
    </w:p>
    <w:p w:rsidR="00507D7F" w:rsidRDefault="008E082B" w:rsidP="00BF3BD5">
      <w:pPr>
        <w:rPr>
          <w:sz w:val="28"/>
          <w:szCs w:val="28"/>
        </w:rPr>
      </w:pPr>
      <w:r>
        <w:rPr>
          <w:sz w:val="28"/>
          <w:szCs w:val="28"/>
        </w:rPr>
        <w:t>C)</w:t>
      </w:r>
    </w:p>
    <w:p w:rsidR="008E082B" w:rsidRDefault="008E082B" w:rsidP="00BF3BD5">
      <w:pPr>
        <w:rPr>
          <w:sz w:val="28"/>
          <w:szCs w:val="28"/>
        </w:rPr>
      </w:pPr>
      <w:r>
        <w:rPr>
          <w:sz w:val="28"/>
          <w:szCs w:val="28"/>
        </w:rPr>
        <w:t>Les points sur la droite correspondent aux paniers coutant exactement le budget, les ponts dans le triangle représentent les paniers dont le cout est inférieur au budget et ceux en dehors correspondent aux paniers dont le cout est hors budget.</w:t>
      </w:r>
    </w:p>
    <w:p w:rsidR="008E082B" w:rsidRDefault="008E082B" w:rsidP="00BF3BD5">
      <w:pPr>
        <w:rPr>
          <w:sz w:val="28"/>
          <w:szCs w:val="28"/>
        </w:rPr>
      </w:pPr>
    </w:p>
    <w:p w:rsidR="008E082B" w:rsidRDefault="008E082B" w:rsidP="00BF3BD5">
      <w:pPr>
        <w:rPr>
          <w:sz w:val="28"/>
          <w:szCs w:val="28"/>
        </w:rPr>
      </w:pPr>
      <w:r>
        <w:rPr>
          <w:sz w:val="28"/>
          <w:szCs w:val="28"/>
        </w:rPr>
        <w:t>3/</w:t>
      </w:r>
    </w:p>
    <w:p w:rsidR="008E082B" w:rsidRDefault="008E082B" w:rsidP="00BF3BD5">
      <w:pPr>
        <w:rPr>
          <w:sz w:val="28"/>
          <w:szCs w:val="28"/>
        </w:rPr>
      </w:pPr>
      <w:r>
        <w:rPr>
          <w:sz w:val="28"/>
          <w:szCs w:val="28"/>
        </w:rPr>
        <w:t>A)</w:t>
      </w:r>
    </w:p>
    <w:p w:rsidR="008E082B" w:rsidRDefault="008E082B" w:rsidP="00BF3BD5">
      <w:pPr>
        <w:rPr>
          <w:sz w:val="28"/>
          <w:szCs w:val="28"/>
        </w:rPr>
      </w:pPr>
      <w:r>
        <w:rPr>
          <w:sz w:val="28"/>
          <w:szCs w:val="28"/>
        </w:rPr>
        <w:t xml:space="preserve">Choisir </w:t>
      </w:r>
      <w:r w:rsidR="00001FE8">
        <w:rPr>
          <w:sz w:val="28"/>
          <w:szCs w:val="28"/>
        </w:rPr>
        <w:t>un panier qui lui apporte une satisfaction optimale tout en dépensant l’intégralité de son budget.</w:t>
      </w:r>
    </w:p>
    <w:p w:rsidR="008310B9" w:rsidRDefault="008310B9" w:rsidP="00BF3BD5">
      <w:pPr>
        <w:rPr>
          <w:sz w:val="28"/>
          <w:szCs w:val="28"/>
        </w:rPr>
      </w:pPr>
      <w:r>
        <w:rPr>
          <w:sz w:val="28"/>
          <w:szCs w:val="28"/>
        </w:rPr>
        <w:t>B)</w:t>
      </w:r>
    </w:p>
    <w:p w:rsidR="008310B9" w:rsidRDefault="008310B9" w:rsidP="00BF3BD5">
      <w:pPr>
        <w:rPr>
          <w:sz w:val="28"/>
          <w:szCs w:val="28"/>
        </w:rPr>
      </w:pPr>
      <w:r>
        <w:rPr>
          <w:sz w:val="28"/>
          <w:szCs w:val="28"/>
        </w:rPr>
        <w:t>Il faut chercher les points des courbes d’indifférences qui coupent la droite de budget. Elle choisira la courbe avec la plus grande utilité ensuite.</w:t>
      </w:r>
    </w:p>
    <w:p w:rsidR="008310B9" w:rsidRDefault="008310B9" w:rsidP="00BF3BD5">
      <w:pPr>
        <w:rPr>
          <w:sz w:val="28"/>
          <w:szCs w:val="28"/>
        </w:rPr>
      </w:pPr>
      <w:r>
        <w:rPr>
          <w:sz w:val="28"/>
          <w:szCs w:val="28"/>
        </w:rPr>
        <w:t>C)</w:t>
      </w:r>
    </w:p>
    <w:p w:rsidR="008310B9" w:rsidRDefault="00205FC5" w:rsidP="00BF3BD5">
      <w:pPr>
        <w:rPr>
          <w:sz w:val="28"/>
          <w:szCs w:val="28"/>
        </w:rPr>
      </w:pPr>
      <w:r>
        <w:rPr>
          <w:sz w:val="28"/>
          <w:szCs w:val="28"/>
        </w:rPr>
        <w:t>On ne regarde ne considère que les courbes présentes dans le triangle formé par la droite de budget et les axes.</w:t>
      </w:r>
    </w:p>
    <w:p w:rsidR="00205FC5" w:rsidRDefault="00205FC5" w:rsidP="00BF3BD5">
      <w:pPr>
        <w:rPr>
          <w:sz w:val="28"/>
          <w:szCs w:val="28"/>
        </w:rPr>
      </w:pPr>
      <w:r>
        <w:rPr>
          <w:sz w:val="28"/>
          <w:szCs w:val="28"/>
        </w:rPr>
        <w:lastRenderedPageBreak/>
        <w:t>D)</w:t>
      </w:r>
    </w:p>
    <w:p w:rsidR="00205FC5" w:rsidRDefault="00205FC5" w:rsidP="00BF3BD5">
      <w:pPr>
        <w:rPr>
          <w:sz w:val="28"/>
          <w:szCs w:val="28"/>
        </w:rPr>
      </w:pPr>
      <w:r>
        <w:rPr>
          <w:sz w:val="28"/>
          <w:szCs w:val="28"/>
        </w:rPr>
        <w:t>Elle achète 200 grammes de chocolat et une part de Far breton.</w:t>
      </w:r>
    </w:p>
    <w:p w:rsidR="00205FC5" w:rsidRDefault="00205FC5" w:rsidP="00BF3BD5">
      <w:pPr>
        <w:rPr>
          <w:sz w:val="28"/>
          <w:szCs w:val="28"/>
        </w:rPr>
      </w:pPr>
      <w:r>
        <w:rPr>
          <w:sz w:val="28"/>
          <w:szCs w:val="28"/>
        </w:rPr>
        <w:t>E) SI la contrainte budgétaire de Virginie se déplace à 3.6€, la droite de budget se déplacerait vers la « gauche ». Elle achètera alors 3 parts de Far breton (utilité 13).</w:t>
      </w:r>
    </w:p>
    <w:p w:rsidR="00205FC5" w:rsidRDefault="00205FC5" w:rsidP="00BF3BD5">
      <w:pPr>
        <w:rPr>
          <w:sz w:val="28"/>
          <w:szCs w:val="28"/>
        </w:rPr>
      </w:pPr>
      <w:r>
        <w:rPr>
          <w:sz w:val="28"/>
          <w:szCs w:val="28"/>
        </w:rPr>
        <w:t>F)</w:t>
      </w:r>
      <w:bookmarkStart w:id="0" w:name="_GoBack"/>
      <w:bookmarkEnd w:id="0"/>
    </w:p>
    <w:p w:rsidR="00205FC5" w:rsidRPr="0078564E" w:rsidRDefault="00205FC5" w:rsidP="00BF3BD5">
      <w:pPr>
        <w:rPr>
          <w:sz w:val="28"/>
          <w:szCs w:val="28"/>
        </w:rPr>
      </w:pPr>
    </w:p>
    <w:sectPr w:rsidR="00205FC5" w:rsidRPr="00785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894177"/>
    <w:multiLevelType w:val="hybridMultilevel"/>
    <w:tmpl w:val="5C849CC4"/>
    <w:lvl w:ilvl="0" w:tplc="9730ABA6">
      <w:start w:val="1"/>
      <w:numFmt w:val="bullet"/>
      <w:lvlText w:val="•"/>
      <w:lvlJc w:val="left"/>
      <w:pPr>
        <w:tabs>
          <w:tab w:val="num" w:pos="720"/>
        </w:tabs>
        <w:ind w:left="720" w:hanging="360"/>
      </w:pPr>
      <w:rPr>
        <w:rFonts w:ascii="Arial" w:hAnsi="Arial" w:hint="default"/>
      </w:rPr>
    </w:lvl>
    <w:lvl w:ilvl="1" w:tplc="B296B158" w:tentative="1">
      <w:start w:val="1"/>
      <w:numFmt w:val="bullet"/>
      <w:lvlText w:val="•"/>
      <w:lvlJc w:val="left"/>
      <w:pPr>
        <w:tabs>
          <w:tab w:val="num" w:pos="1440"/>
        </w:tabs>
        <w:ind w:left="1440" w:hanging="360"/>
      </w:pPr>
      <w:rPr>
        <w:rFonts w:ascii="Arial" w:hAnsi="Arial" w:hint="default"/>
      </w:rPr>
    </w:lvl>
    <w:lvl w:ilvl="2" w:tplc="02BA1BEC" w:tentative="1">
      <w:start w:val="1"/>
      <w:numFmt w:val="bullet"/>
      <w:lvlText w:val="•"/>
      <w:lvlJc w:val="left"/>
      <w:pPr>
        <w:tabs>
          <w:tab w:val="num" w:pos="2160"/>
        </w:tabs>
        <w:ind w:left="2160" w:hanging="360"/>
      </w:pPr>
      <w:rPr>
        <w:rFonts w:ascii="Arial" w:hAnsi="Arial" w:hint="default"/>
      </w:rPr>
    </w:lvl>
    <w:lvl w:ilvl="3" w:tplc="81783B88" w:tentative="1">
      <w:start w:val="1"/>
      <w:numFmt w:val="bullet"/>
      <w:lvlText w:val="•"/>
      <w:lvlJc w:val="left"/>
      <w:pPr>
        <w:tabs>
          <w:tab w:val="num" w:pos="2880"/>
        </w:tabs>
        <w:ind w:left="2880" w:hanging="360"/>
      </w:pPr>
      <w:rPr>
        <w:rFonts w:ascii="Arial" w:hAnsi="Arial" w:hint="default"/>
      </w:rPr>
    </w:lvl>
    <w:lvl w:ilvl="4" w:tplc="2E84E6EA" w:tentative="1">
      <w:start w:val="1"/>
      <w:numFmt w:val="bullet"/>
      <w:lvlText w:val="•"/>
      <w:lvlJc w:val="left"/>
      <w:pPr>
        <w:tabs>
          <w:tab w:val="num" w:pos="3600"/>
        </w:tabs>
        <w:ind w:left="3600" w:hanging="360"/>
      </w:pPr>
      <w:rPr>
        <w:rFonts w:ascii="Arial" w:hAnsi="Arial" w:hint="default"/>
      </w:rPr>
    </w:lvl>
    <w:lvl w:ilvl="5" w:tplc="49D853AA" w:tentative="1">
      <w:start w:val="1"/>
      <w:numFmt w:val="bullet"/>
      <w:lvlText w:val="•"/>
      <w:lvlJc w:val="left"/>
      <w:pPr>
        <w:tabs>
          <w:tab w:val="num" w:pos="4320"/>
        </w:tabs>
        <w:ind w:left="4320" w:hanging="360"/>
      </w:pPr>
      <w:rPr>
        <w:rFonts w:ascii="Arial" w:hAnsi="Arial" w:hint="default"/>
      </w:rPr>
    </w:lvl>
    <w:lvl w:ilvl="6" w:tplc="2BFA8162" w:tentative="1">
      <w:start w:val="1"/>
      <w:numFmt w:val="bullet"/>
      <w:lvlText w:val="•"/>
      <w:lvlJc w:val="left"/>
      <w:pPr>
        <w:tabs>
          <w:tab w:val="num" w:pos="5040"/>
        </w:tabs>
        <w:ind w:left="5040" w:hanging="360"/>
      </w:pPr>
      <w:rPr>
        <w:rFonts w:ascii="Arial" w:hAnsi="Arial" w:hint="default"/>
      </w:rPr>
    </w:lvl>
    <w:lvl w:ilvl="7" w:tplc="015200D0" w:tentative="1">
      <w:start w:val="1"/>
      <w:numFmt w:val="bullet"/>
      <w:lvlText w:val="•"/>
      <w:lvlJc w:val="left"/>
      <w:pPr>
        <w:tabs>
          <w:tab w:val="num" w:pos="5760"/>
        </w:tabs>
        <w:ind w:left="5760" w:hanging="360"/>
      </w:pPr>
      <w:rPr>
        <w:rFonts w:ascii="Arial" w:hAnsi="Arial" w:hint="default"/>
      </w:rPr>
    </w:lvl>
    <w:lvl w:ilvl="8" w:tplc="A120CFF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EA"/>
    <w:rsid w:val="00001FE8"/>
    <w:rsid w:val="0004676B"/>
    <w:rsid w:val="00072045"/>
    <w:rsid w:val="000A2ABF"/>
    <w:rsid w:val="000C66A6"/>
    <w:rsid w:val="00145D66"/>
    <w:rsid w:val="00205FC5"/>
    <w:rsid w:val="002A384F"/>
    <w:rsid w:val="002B2C52"/>
    <w:rsid w:val="004009C6"/>
    <w:rsid w:val="004E47BA"/>
    <w:rsid w:val="00507D7F"/>
    <w:rsid w:val="00562ABE"/>
    <w:rsid w:val="0068651E"/>
    <w:rsid w:val="0078564E"/>
    <w:rsid w:val="008310B9"/>
    <w:rsid w:val="008E082B"/>
    <w:rsid w:val="00965B15"/>
    <w:rsid w:val="009C2EA6"/>
    <w:rsid w:val="009D7D77"/>
    <w:rsid w:val="00AB0C0A"/>
    <w:rsid w:val="00AE05CC"/>
    <w:rsid w:val="00BC6930"/>
    <w:rsid w:val="00BF3BD5"/>
    <w:rsid w:val="00CD49EC"/>
    <w:rsid w:val="00E72F8E"/>
    <w:rsid w:val="00E84FA6"/>
    <w:rsid w:val="00EB23B6"/>
    <w:rsid w:val="00EF63EC"/>
    <w:rsid w:val="00F22B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A816A-CD6B-42C6-B66D-1AC54897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7D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7D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D77"/>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9D7D7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D7D77"/>
    <w:rPr>
      <w:rFonts w:eastAsiaTheme="minorEastAsia"/>
      <w:color w:val="5A5A5A" w:themeColor="text1" w:themeTint="A5"/>
      <w:spacing w:val="15"/>
    </w:rPr>
  </w:style>
  <w:style w:type="paragraph" w:styleId="Title">
    <w:name w:val="Title"/>
    <w:basedOn w:val="Normal"/>
    <w:next w:val="Normal"/>
    <w:link w:val="TitleChar"/>
    <w:uiPriority w:val="10"/>
    <w:qFormat/>
    <w:rsid w:val="009D7D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D7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D7D7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E05CC"/>
    <w:pPr>
      <w:spacing w:after="0" w:line="240" w:lineRule="auto"/>
      <w:ind w:left="720"/>
      <w:contextualSpacing/>
    </w:pPr>
    <w:rPr>
      <w:rFonts w:ascii="Times New Roman" w:eastAsia="Times New Roman" w:hAnsi="Times New Roman" w:cs="Times New Roman"/>
      <w:sz w:val="24"/>
      <w:szCs w:val="24"/>
      <w:lang w:eastAsia="fr-FR"/>
    </w:rPr>
  </w:style>
  <w:style w:type="table" w:styleId="TableGrid">
    <w:name w:val="Table Grid"/>
    <w:basedOn w:val="TableNormal"/>
    <w:uiPriority w:val="39"/>
    <w:rsid w:val="00BF3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63E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56985">
      <w:bodyDiv w:val="1"/>
      <w:marLeft w:val="0"/>
      <w:marRight w:val="0"/>
      <w:marTop w:val="0"/>
      <w:marBottom w:val="0"/>
      <w:divBdr>
        <w:top w:val="none" w:sz="0" w:space="0" w:color="auto"/>
        <w:left w:val="none" w:sz="0" w:space="0" w:color="auto"/>
        <w:bottom w:val="none" w:sz="0" w:space="0" w:color="auto"/>
        <w:right w:val="none" w:sz="0" w:space="0" w:color="auto"/>
      </w:divBdr>
      <w:divsChild>
        <w:div w:id="14308141">
          <w:marLeft w:val="547"/>
          <w:marRight w:val="0"/>
          <w:marTop w:val="134"/>
          <w:marBottom w:val="0"/>
          <w:divBdr>
            <w:top w:val="none" w:sz="0" w:space="0" w:color="auto"/>
            <w:left w:val="none" w:sz="0" w:space="0" w:color="auto"/>
            <w:bottom w:val="none" w:sz="0" w:space="0" w:color="auto"/>
            <w:right w:val="none" w:sz="0" w:space="0" w:color="auto"/>
          </w:divBdr>
        </w:div>
      </w:divsChild>
    </w:div>
    <w:div w:id="462777302">
      <w:bodyDiv w:val="1"/>
      <w:marLeft w:val="0"/>
      <w:marRight w:val="0"/>
      <w:marTop w:val="0"/>
      <w:marBottom w:val="0"/>
      <w:divBdr>
        <w:top w:val="none" w:sz="0" w:space="0" w:color="auto"/>
        <w:left w:val="none" w:sz="0" w:space="0" w:color="auto"/>
        <w:bottom w:val="none" w:sz="0" w:space="0" w:color="auto"/>
        <w:right w:val="none" w:sz="0" w:space="0" w:color="auto"/>
      </w:divBdr>
    </w:div>
    <w:div w:id="12482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Courbes D'indifférence</a:t>
            </a:r>
          </a:p>
          <a:p>
            <a:pPr>
              <a:defRPr/>
            </a:pP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6.2247549581290945E-2"/>
          <c:y val="0.10907416230679623"/>
          <c:w val="0.78145008497377122"/>
          <c:h val="0.71100553607269679"/>
        </c:manualLayout>
      </c:layout>
      <c:scatterChart>
        <c:scatterStyle val="smoothMarker"/>
        <c:varyColors val="0"/>
        <c:ser>
          <c:idx val="0"/>
          <c:order val="0"/>
          <c:tx>
            <c:v>Utilité 10</c:v>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1"/>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Sheet1!$A$2:$A$3</c:f>
              <c:numCache>
                <c:formatCode>General</c:formatCode>
                <c:ptCount val="2"/>
                <c:pt idx="0">
                  <c:v>0</c:v>
                </c:pt>
                <c:pt idx="1">
                  <c:v>1</c:v>
                </c:pt>
              </c:numCache>
            </c:numRef>
          </c:xVal>
          <c:yVal>
            <c:numRef>
              <c:f>Sheet1!$B$2:$B$3</c:f>
              <c:numCache>
                <c:formatCode>General</c:formatCode>
                <c:ptCount val="2"/>
                <c:pt idx="0">
                  <c:v>2</c:v>
                </c:pt>
                <c:pt idx="1">
                  <c:v>0</c:v>
                </c:pt>
              </c:numCache>
            </c:numRef>
          </c:yVal>
          <c:smooth val="1"/>
        </c:ser>
        <c:ser>
          <c:idx val="1"/>
          <c:order val="1"/>
          <c:tx>
            <c:v>Utilité 18</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Sheet1!$A$5:$A$6</c:f>
              <c:numCache>
                <c:formatCode>General</c:formatCode>
                <c:ptCount val="2"/>
                <c:pt idx="0">
                  <c:v>2</c:v>
                </c:pt>
                <c:pt idx="1">
                  <c:v>0</c:v>
                </c:pt>
              </c:numCache>
            </c:numRef>
          </c:xVal>
          <c:yVal>
            <c:numRef>
              <c:f>Sheet1!$B$5:$B$6</c:f>
              <c:numCache>
                <c:formatCode>General</c:formatCode>
                <c:ptCount val="2"/>
                <c:pt idx="0">
                  <c:v>0</c:v>
                </c:pt>
                <c:pt idx="1">
                  <c:v>6</c:v>
                </c:pt>
              </c:numCache>
            </c:numRef>
          </c:yVal>
          <c:smooth val="1"/>
        </c:ser>
        <c:ser>
          <c:idx val="2"/>
          <c:order val="2"/>
          <c:tx>
            <c:v>Utilité 24</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Sheet1!$A$8:$A$9</c:f>
              <c:numCache>
                <c:formatCode>General</c:formatCode>
                <c:ptCount val="2"/>
                <c:pt idx="0">
                  <c:v>3</c:v>
                </c:pt>
                <c:pt idx="1">
                  <c:v>2</c:v>
                </c:pt>
              </c:numCache>
            </c:numRef>
          </c:xVal>
          <c:yVal>
            <c:numRef>
              <c:f>Sheet1!$B$8:$B$9</c:f>
              <c:numCache>
                <c:formatCode>General</c:formatCode>
                <c:ptCount val="2"/>
                <c:pt idx="0">
                  <c:v>0</c:v>
                </c:pt>
                <c:pt idx="1">
                  <c:v>1</c:v>
                </c:pt>
              </c:numCache>
            </c:numRef>
          </c:yVal>
          <c:smooth val="1"/>
        </c:ser>
        <c:ser>
          <c:idx val="3"/>
          <c:order val="3"/>
          <c:tx>
            <c:v>Utilité 28</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Sheet1!$A$11:$A$13</c:f>
              <c:numCache>
                <c:formatCode>General</c:formatCode>
                <c:ptCount val="3"/>
                <c:pt idx="0">
                  <c:v>4</c:v>
                </c:pt>
                <c:pt idx="1">
                  <c:v>2</c:v>
                </c:pt>
                <c:pt idx="2">
                  <c:v>1</c:v>
                </c:pt>
              </c:numCache>
            </c:numRef>
          </c:xVal>
          <c:yVal>
            <c:numRef>
              <c:f>Sheet1!$B$11:$B$13</c:f>
              <c:numCache>
                <c:formatCode>General</c:formatCode>
                <c:ptCount val="3"/>
                <c:pt idx="0">
                  <c:v>0</c:v>
                </c:pt>
                <c:pt idx="1">
                  <c:v>2</c:v>
                </c:pt>
                <c:pt idx="2">
                  <c:v>6</c:v>
                </c:pt>
              </c:numCache>
            </c:numRef>
          </c:yVal>
          <c:smooth val="1"/>
        </c:ser>
        <c:dLbls>
          <c:showLegendKey val="0"/>
          <c:showVal val="0"/>
          <c:showCatName val="0"/>
          <c:showSerName val="0"/>
          <c:showPercent val="0"/>
          <c:showBubbleSize val="0"/>
        </c:dLbls>
        <c:axId val="500540488"/>
        <c:axId val="500541664"/>
      </c:scatterChart>
      <c:valAx>
        <c:axId val="5005404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Chocolats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0541664"/>
        <c:crosses val="autoZero"/>
        <c:crossBetween val="midCat"/>
      </c:valAx>
      <c:valAx>
        <c:axId val="500541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Far Breton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0540488"/>
        <c:crosses val="autoZero"/>
        <c:crossBetween val="midCat"/>
      </c:valAx>
      <c:spPr>
        <a:noFill/>
        <a:ln>
          <a:noFill/>
        </a:ln>
        <a:effectLst/>
      </c:spPr>
    </c:plotArea>
    <c:legend>
      <c:legendPos val="r"/>
      <c:layout>
        <c:manualLayout>
          <c:xMode val="edge"/>
          <c:yMode val="edge"/>
          <c:x val="0.83920739329551464"/>
          <c:y val="0.12418853916540047"/>
          <c:w val="0.13257351256127176"/>
          <c:h val="0.2459032899033920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Utilité</a:t>
            </a:r>
          </a:p>
          <a:p>
            <a:pPr>
              <a:defRPr/>
            </a:pP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6.2247549581290945E-2"/>
          <c:y val="0.10907416230679623"/>
          <c:w val="0.73720791451286927"/>
          <c:h val="0.71100553607269679"/>
        </c:manualLayout>
      </c:layout>
      <c:scatterChart>
        <c:scatterStyle val="smoothMarker"/>
        <c:varyColors val="0"/>
        <c:ser>
          <c:idx val="0"/>
          <c:order val="0"/>
          <c:tx>
            <c:v>Utilité 10</c:v>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1"/>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Sheet1!$A$2:$A$3</c:f>
              <c:numCache>
                <c:formatCode>General</c:formatCode>
                <c:ptCount val="2"/>
                <c:pt idx="0">
                  <c:v>0</c:v>
                </c:pt>
                <c:pt idx="1">
                  <c:v>1</c:v>
                </c:pt>
              </c:numCache>
            </c:numRef>
          </c:xVal>
          <c:yVal>
            <c:numRef>
              <c:f>Sheet1!$B$2:$B$3</c:f>
              <c:numCache>
                <c:formatCode>General</c:formatCode>
                <c:ptCount val="2"/>
                <c:pt idx="0">
                  <c:v>2</c:v>
                </c:pt>
                <c:pt idx="1">
                  <c:v>0</c:v>
                </c:pt>
              </c:numCache>
            </c:numRef>
          </c:yVal>
          <c:smooth val="1"/>
        </c:ser>
        <c:ser>
          <c:idx val="1"/>
          <c:order val="1"/>
          <c:tx>
            <c:v>Utilité 18</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Sheet1!$A$5:$A$6</c:f>
              <c:numCache>
                <c:formatCode>General</c:formatCode>
                <c:ptCount val="2"/>
                <c:pt idx="0">
                  <c:v>2</c:v>
                </c:pt>
                <c:pt idx="1">
                  <c:v>0</c:v>
                </c:pt>
              </c:numCache>
            </c:numRef>
          </c:xVal>
          <c:yVal>
            <c:numRef>
              <c:f>Sheet1!$B$5:$B$6</c:f>
              <c:numCache>
                <c:formatCode>General</c:formatCode>
                <c:ptCount val="2"/>
                <c:pt idx="0">
                  <c:v>0</c:v>
                </c:pt>
                <c:pt idx="1">
                  <c:v>6</c:v>
                </c:pt>
              </c:numCache>
            </c:numRef>
          </c:yVal>
          <c:smooth val="1"/>
        </c:ser>
        <c:ser>
          <c:idx val="2"/>
          <c:order val="2"/>
          <c:tx>
            <c:v>Utilité 24</c:v>
          </c:tx>
          <c:spPr>
            <a:ln w="19050" cap="rnd">
              <a:solidFill>
                <a:schemeClr val="accent6"/>
              </a:solidFill>
              <a:round/>
            </a:ln>
            <a:effectLst/>
          </c:spPr>
          <c:marker>
            <c:symbol val="circle"/>
            <c:size val="5"/>
            <c:spPr>
              <a:solidFill>
                <a:schemeClr val="accent3"/>
              </a:solidFill>
              <a:ln w="9525">
                <a:solidFill>
                  <a:schemeClr val="accent6"/>
                </a:solidFill>
              </a:ln>
              <a:effectLst/>
            </c:spPr>
          </c:marker>
          <c:xVal>
            <c:numRef>
              <c:f>Sheet1!$A$8:$A$9</c:f>
              <c:numCache>
                <c:formatCode>General</c:formatCode>
                <c:ptCount val="2"/>
                <c:pt idx="0">
                  <c:v>3</c:v>
                </c:pt>
                <c:pt idx="1">
                  <c:v>2</c:v>
                </c:pt>
              </c:numCache>
            </c:numRef>
          </c:xVal>
          <c:yVal>
            <c:numRef>
              <c:f>Sheet1!$B$8:$B$9</c:f>
              <c:numCache>
                <c:formatCode>General</c:formatCode>
                <c:ptCount val="2"/>
                <c:pt idx="0">
                  <c:v>0</c:v>
                </c:pt>
                <c:pt idx="1">
                  <c:v>1</c:v>
                </c:pt>
              </c:numCache>
            </c:numRef>
          </c:yVal>
          <c:smooth val="1"/>
        </c:ser>
        <c:ser>
          <c:idx val="3"/>
          <c:order val="3"/>
          <c:tx>
            <c:v>Utilité 28</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Sheet1!$A$11:$A$13</c:f>
              <c:numCache>
                <c:formatCode>General</c:formatCode>
                <c:ptCount val="3"/>
                <c:pt idx="0">
                  <c:v>4</c:v>
                </c:pt>
                <c:pt idx="1">
                  <c:v>2</c:v>
                </c:pt>
                <c:pt idx="2">
                  <c:v>1</c:v>
                </c:pt>
              </c:numCache>
            </c:numRef>
          </c:xVal>
          <c:yVal>
            <c:numRef>
              <c:f>Sheet1!$B$11:$B$13</c:f>
              <c:numCache>
                <c:formatCode>General</c:formatCode>
                <c:ptCount val="3"/>
                <c:pt idx="0">
                  <c:v>0</c:v>
                </c:pt>
                <c:pt idx="1">
                  <c:v>2</c:v>
                </c:pt>
                <c:pt idx="2">
                  <c:v>6</c:v>
                </c:pt>
              </c:numCache>
            </c:numRef>
          </c:yVal>
          <c:smooth val="1"/>
        </c:ser>
        <c:ser>
          <c:idx val="4"/>
          <c:order val="4"/>
          <c:tx>
            <c:v>droite de budget</c:v>
          </c:tx>
          <c:spPr>
            <a:ln w="38100" cap="rnd">
              <a:solidFill>
                <a:srgbClr val="C00000"/>
              </a:solidFill>
              <a:round/>
            </a:ln>
            <a:effectLst/>
          </c:spPr>
          <c:marker>
            <c:symbol val="circle"/>
            <c:size val="5"/>
            <c:spPr>
              <a:solidFill>
                <a:schemeClr val="bg1"/>
              </a:solidFill>
              <a:ln w="38100">
                <a:solidFill>
                  <a:srgbClr val="C00000"/>
                </a:solidFill>
              </a:ln>
              <a:effectLst/>
            </c:spPr>
          </c:marker>
          <c:xVal>
            <c:numRef>
              <c:f>Sheet1!$A$15:$A$16</c:f>
              <c:numCache>
                <c:formatCode>General</c:formatCode>
                <c:ptCount val="2"/>
                <c:pt idx="0">
                  <c:v>2.5</c:v>
                </c:pt>
                <c:pt idx="1">
                  <c:v>0</c:v>
                </c:pt>
              </c:numCache>
            </c:numRef>
          </c:xVal>
          <c:yVal>
            <c:numRef>
              <c:f>Sheet1!$B$15:$B$16</c:f>
              <c:numCache>
                <c:formatCode>General</c:formatCode>
                <c:ptCount val="2"/>
                <c:pt idx="0">
                  <c:v>0</c:v>
                </c:pt>
                <c:pt idx="1">
                  <c:v>5</c:v>
                </c:pt>
              </c:numCache>
            </c:numRef>
          </c:yVal>
          <c:smooth val="1"/>
        </c:ser>
        <c:dLbls>
          <c:showLegendKey val="0"/>
          <c:showVal val="0"/>
          <c:showCatName val="0"/>
          <c:showSerName val="0"/>
          <c:showPercent val="0"/>
          <c:showBubbleSize val="0"/>
        </c:dLbls>
        <c:axId val="500539704"/>
        <c:axId val="500537352"/>
      </c:scatterChart>
      <c:valAx>
        <c:axId val="5005397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Chocolats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0537352"/>
        <c:crosses val="autoZero"/>
        <c:crossBetween val="midCat"/>
      </c:valAx>
      <c:valAx>
        <c:axId val="500537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Far Breton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0539704"/>
        <c:crosses val="autoZero"/>
        <c:crossBetween val="midCat"/>
      </c:valAx>
      <c:spPr>
        <a:noFill/>
        <a:ln>
          <a:noFill/>
        </a:ln>
        <a:effectLst/>
      </c:spPr>
    </c:plotArea>
    <c:legend>
      <c:legendPos val="r"/>
      <c:layout>
        <c:manualLayout>
          <c:xMode val="edge"/>
          <c:yMode val="edge"/>
          <c:x val="0.81009524464463778"/>
          <c:y val="0.12418851250089206"/>
          <c:w val="0.18990475535536225"/>
          <c:h val="0.36024930418440898"/>
        </c:manualLayout>
      </c:layout>
      <c:overlay val="0"/>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326</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2017-09-22T08:19:00Z</dcterms:created>
  <dcterms:modified xsi:type="dcterms:W3CDTF">2017-09-22T09:35:00Z</dcterms:modified>
</cp:coreProperties>
</file>