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 xml:space="preserve">FICHE </w:t>
      </w:r>
      <w:r w:rsidR="00AA031B">
        <w:rPr>
          <w:color w:val="548DD4" w:themeColor="text2" w:themeTint="99"/>
          <w:sz w:val="52"/>
          <w:lang w:val="fr-FR"/>
        </w:rPr>
        <w:t>1</w:t>
      </w:r>
      <w:r w:rsidR="00587ED8">
        <w:rPr>
          <w:color w:val="548DD4" w:themeColor="text2" w:themeTint="99"/>
          <w:sz w:val="52"/>
          <w:lang w:val="fr-FR"/>
        </w:rPr>
        <w:t>1</w:t>
      </w:r>
      <w:r w:rsidR="00205E2D">
        <w:rPr>
          <w:color w:val="548DD4" w:themeColor="text2" w:themeTint="99"/>
          <w:sz w:val="52"/>
          <w:lang w:val="fr-FR"/>
        </w:rPr>
        <w:t>b: comptes de régularisation et d’attente</w:t>
      </w:r>
      <w:r w:rsidR="00587ED8">
        <w:rPr>
          <w:color w:val="548DD4" w:themeColor="text2" w:themeTint="99"/>
          <w:sz w:val="52"/>
          <w:lang w:val="fr-FR"/>
        </w:rPr>
        <w:t xml:space="preserve"> </w:t>
      </w:r>
    </w:p>
    <w:p w:rsidR="00FC57C1" w:rsidRDefault="00FC57C1">
      <w:pPr>
        <w:rPr>
          <w:b/>
          <w:sz w:val="24"/>
          <w:u w:val="single"/>
          <w:lang w:val="fr-FR"/>
        </w:rPr>
      </w:pPr>
      <w:bookmarkStart w:id="0" w:name="OLE_LINK1"/>
      <w:r w:rsidRPr="002060E8">
        <w:rPr>
          <w:b/>
          <w:sz w:val="24"/>
          <w:u w:val="single"/>
          <w:lang w:val="fr-FR"/>
        </w:rPr>
        <w:t xml:space="preserve">Concept : </w:t>
      </w:r>
    </w:p>
    <w:p w:rsidR="00205E2D" w:rsidRDefault="00205E2D">
      <w:pPr>
        <w:rPr>
          <w:sz w:val="24"/>
          <w:lang w:val="fr-FR"/>
        </w:rPr>
      </w:pPr>
      <w:r w:rsidRPr="00205E2D">
        <w:rPr>
          <w:sz w:val="24"/>
          <w:lang w:val="fr-FR"/>
        </w:rPr>
        <w:t>Nous distinguerons :</w:t>
      </w:r>
    </w:p>
    <w:p w:rsidR="00205E2D" w:rsidRDefault="00205E2D" w:rsidP="00205E2D">
      <w:pPr>
        <w:pStyle w:val="Paragraphedeliste"/>
        <w:numPr>
          <w:ilvl w:val="0"/>
          <w:numId w:val="30"/>
        </w:numPr>
        <w:rPr>
          <w:sz w:val="24"/>
          <w:lang w:val="fr-FR"/>
        </w:rPr>
      </w:pPr>
      <w:r>
        <w:rPr>
          <w:sz w:val="24"/>
          <w:lang w:val="fr-FR"/>
        </w:rPr>
        <w:t>Les comptes de rattachement</w:t>
      </w:r>
    </w:p>
    <w:p w:rsidR="00205E2D" w:rsidRDefault="00205E2D" w:rsidP="00205E2D">
      <w:pPr>
        <w:pStyle w:val="Paragraphedeliste"/>
        <w:numPr>
          <w:ilvl w:val="0"/>
          <w:numId w:val="30"/>
        </w:numPr>
        <w:rPr>
          <w:sz w:val="24"/>
          <w:lang w:val="fr-FR"/>
        </w:rPr>
      </w:pPr>
      <w:r>
        <w:rPr>
          <w:sz w:val="24"/>
          <w:lang w:val="fr-FR"/>
        </w:rPr>
        <w:t>Les comptes de régularisations</w:t>
      </w:r>
    </w:p>
    <w:p w:rsidR="00205E2D" w:rsidRDefault="00205E2D" w:rsidP="00205E2D">
      <w:pPr>
        <w:pStyle w:val="Paragraphedeliste"/>
        <w:numPr>
          <w:ilvl w:val="0"/>
          <w:numId w:val="30"/>
        </w:numPr>
        <w:rPr>
          <w:sz w:val="24"/>
          <w:lang w:val="fr-FR"/>
        </w:rPr>
      </w:pPr>
      <w:r>
        <w:rPr>
          <w:sz w:val="24"/>
          <w:lang w:val="fr-FR"/>
        </w:rPr>
        <w:t>Les comptes transitoires et d’attente</w:t>
      </w:r>
    </w:p>
    <w:p w:rsidR="00205E2D" w:rsidRDefault="00205E2D" w:rsidP="00205E2D">
      <w:pPr>
        <w:rPr>
          <w:sz w:val="24"/>
          <w:lang w:val="fr-FR"/>
        </w:rPr>
      </w:pPr>
    </w:p>
    <w:p w:rsidR="00205E2D" w:rsidRPr="00E82704" w:rsidRDefault="00E82704" w:rsidP="00E82704">
      <w:pPr>
        <w:rPr>
          <w:sz w:val="24"/>
          <w:lang w:val="fr-FR"/>
        </w:rPr>
      </w:pPr>
      <w:r w:rsidRPr="00E82704">
        <w:rPr>
          <w:i/>
          <w:sz w:val="24"/>
          <w:lang w:val="fr-FR"/>
        </w:rPr>
        <w:t>A-</w:t>
      </w:r>
      <w:r w:rsidR="00205E2D" w:rsidRPr="00E82704">
        <w:rPr>
          <w:i/>
          <w:sz w:val="24"/>
          <w:lang w:val="fr-FR"/>
        </w:rPr>
        <w:t>Les comptes de rattachement</w:t>
      </w:r>
      <w:r w:rsidR="00205E2D" w:rsidRPr="00E82704">
        <w:rPr>
          <w:sz w:val="24"/>
          <w:lang w:val="fr-FR"/>
        </w:rPr>
        <w:t> :</w:t>
      </w:r>
    </w:p>
    <w:p w:rsidR="00205E2D" w:rsidRDefault="00205E2D" w:rsidP="00205E2D">
      <w:pPr>
        <w:rPr>
          <w:sz w:val="24"/>
          <w:lang w:val="fr-FR"/>
        </w:rPr>
      </w:pPr>
      <w:r>
        <w:rPr>
          <w:sz w:val="24"/>
          <w:lang w:val="fr-FR"/>
        </w:rPr>
        <w:t>Ils résultent du PCG que :</w:t>
      </w:r>
    </w:p>
    <w:p w:rsidR="00205E2D" w:rsidRDefault="00205E2D" w:rsidP="00205E2D">
      <w:pPr>
        <w:pStyle w:val="Paragraphedeliste"/>
        <w:numPr>
          <w:ilvl w:val="0"/>
          <w:numId w:val="32"/>
        </w:numPr>
        <w:rPr>
          <w:sz w:val="24"/>
          <w:lang w:val="fr-FR"/>
        </w:rPr>
      </w:pPr>
      <w:r>
        <w:rPr>
          <w:sz w:val="24"/>
          <w:lang w:val="fr-FR"/>
        </w:rPr>
        <w:t>Seules les régularisations se rapportant à l’exercice et aux exercices ultérieurs sont enregistrées sous l’appellation « comptes de régularisation</w:t>
      </w:r>
      <w:r w:rsidR="00E82704">
        <w:rPr>
          <w:sz w:val="24"/>
          <w:lang w:val="fr-FR"/>
        </w:rPr>
        <w:t> »</w:t>
      </w:r>
    </w:p>
    <w:p w:rsidR="00E82704" w:rsidRDefault="00E82704" w:rsidP="00205E2D">
      <w:pPr>
        <w:pStyle w:val="Paragraphedeliste"/>
        <w:numPr>
          <w:ilvl w:val="0"/>
          <w:numId w:val="32"/>
        </w:numPr>
        <w:rPr>
          <w:sz w:val="24"/>
          <w:lang w:val="fr-FR"/>
        </w:rPr>
      </w:pPr>
      <w:r>
        <w:rPr>
          <w:sz w:val="24"/>
          <w:lang w:val="fr-FR"/>
        </w:rPr>
        <w:t>Les régularisations de charges et pro</w:t>
      </w:r>
      <w:r w:rsidR="00B068B3">
        <w:rPr>
          <w:sz w:val="24"/>
          <w:lang w:val="fr-FR"/>
        </w:rPr>
        <w:t>d</w:t>
      </w:r>
      <w:r>
        <w:rPr>
          <w:sz w:val="24"/>
          <w:lang w:val="fr-FR"/>
        </w:rPr>
        <w:t xml:space="preserve">uits de l’exercice (charges à payer et produits à recevoir) sont rattachées aux comptes des tiers concernés </w:t>
      </w:r>
    </w:p>
    <w:p w:rsidR="00E82704" w:rsidRDefault="00E82704" w:rsidP="00E82704">
      <w:pPr>
        <w:ind w:left="360"/>
        <w:rPr>
          <w:sz w:val="24"/>
          <w:lang w:val="fr-FR"/>
        </w:rPr>
      </w:pPr>
      <w:r w:rsidRPr="00E82704">
        <w:rPr>
          <w:sz w:val="24"/>
          <w:lang w:val="fr-FR"/>
        </w:rPr>
        <w:t>Exemple :</w:t>
      </w:r>
    </w:p>
    <w:p w:rsidR="00E82704" w:rsidRPr="00E82704" w:rsidRDefault="00E82704" w:rsidP="00E82704">
      <w:pPr>
        <w:pStyle w:val="Paragraphedeliste"/>
        <w:numPr>
          <w:ilvl w:val="0"/>
          <w:numId w:val="34"/>
        </w:numPr>
        <w:rPr>
          <w:sz w:val="24"/>
          <w:lang w:val="fr-FR"/>
        </w:rPr>
      </w:pPr>
      <w:r w:rsidRPr="00E82704">
        <w:rPr>
          <w:sz w:val="24"/>
          <w:lang w:val="fr-FR"/>
        </w:rPr>
        <w:t>les factures à recevoir sont rattachées aux comptes « fournisseurs » et les factures à établir aux comptes « clients »</w:t>
      </w:r>
    </w:p>
    <w:p w:rsidR="00E82704" w:rsidRPr="00E82704" w:rsidRDefault="00E82704" w:rsidP="00E82704">
      <w:pPr>
        <w:pStyle w:val="Paragraphedeliste"/>
        <w:numPr>
          <w:ilvl w:val="0"/>
          <w:numId w:val="34"/>
        </w:numPr>
        <w:rPr>
          <w:sz w:val="24"/>
          <w:lang w:val="fr-FR"/>
        </w:rPr>
      </w:pPr>
      <w:r w:rsidRPr="00E82704">
        <w:rPr>
          <w:sz w:val="24"/>
          <w:lang w:val="fr-FR"/>
        </w:rPr>
        <w:t>Les intérêts courus sont rattachés aux comptes des valeurs mobilières ou des tiers qui les procurent.</w:t>
      </w:r>
    </w:p>
    <w:p w:rsidR="00205E2D" w:rsidRPr="00205E2D" w:rsidRDefault="00E82704" w:rsidP="00E82704">
      <w:pPr>
        <w:ind w:left="360"/>
        <w:rPr>
          <w:sz w:val="24"/>
          <w:lang w:val="fr-FR"/>
        </w:rPr>
      </w:pPr>
      <w:r w:rsidRPr="00E82704">
        <w:rPr>
          <w:i/>
          <w:sz w:val="24"/>
          <w:lang w:val="fr-FR"/>
        </w:rPr>
        <w:t>B- Les comptes de régularisations</w:t>
      </w:r>
      <w:r>
        <w:rPr>
          <w:i/>
          <w:sz w:val="24"/>
          <w:lang w:val="fr-FR"/>
        </w:rPr>
        <w:t> :</w:t>
      </w:r>
    </w:p>
    <w:p w:rsidR="00B4474D" w:rsidRDefault="00E90A6D" w:rsidP="00D2502B">
      <w:pPr>
        <w:pStyle w:val="Paragraphedeliste"/>
        <w:rPr>
          <w:lang w:val="fr-FR"/>
        </w:rPr>
      </w:pPr>
      <w:r>
        <w:rPr>
          <w:lang w:val="fr-FR"/>
        </w:rPr>
        <w:t>Les charges et produits comptabilisés pendant l’exercice qui concernent un exercice ultérieur, doivent figurer à l’actif et au passif du bilan au poste « comptes de régularisation »</w:t>
      </w:r>
    </w:p>
    <w:p w:rsidR="00E90A6D" w:rsidRDefault="00E90A6D" w:rsidP="00D2502B">
      <w:pPr>
        <w:pStyle w:val="Paragraphedeliste"/>
        <w:rPr>
          <w:lang w:val="fr-FR"/>
        </w:rPr>
      </w:pPr>
    </w:p>
    <w:p w:rsidR="00E90A6D" w:rsidRDefault="00E90A6D" w:rsidP="00D2502B">
      <w:pPr>
        <w:pStyle w:val="Paragraphedeliste"/>
        <w:rPr>
          <w:lang w:val="fr-FR"/>
        </w:rPr>
      </w:pPr>
      <w:r>
        <w:rPr>
          <w:lang w:val="fr-FR"/>
        </w:rPr>
        <w:t>Les comptes de régularisation englobent :</w:t>
      </w:r>
    </w:p>
    <w:p w:rsidR="00E90A6D" w:rsidRDefault="00E90A6D" w:rsidP="00E90A6D">
      <w:pPr>
        <w:pStyle w:val="Paragraphedeliste"/>
        <w:numPr>
          <w:ilvl w:val="0"/>
          <w:numId w:val="28"/>
        </w:numPr>
        <w:rPr>
          <w:lang w:val="fr-FR"/>
        </w:rPr>
      </w:pPr>
      <w:r>
        <w:rPr>
          <w:lang w:val="fr-FR"/>
        </w:rPr>
        <w:t>Les frais d’émission des emprunts (charges à répartir sur plusieurs exercices)</w:t>
      </w:r>
    </w:p>
    <w:p w:rsidR="00E90A6D" w:rsidRDefault="00E90A6D" w:rsidP="00E90A6D">
      <w:pPr>
        <w:pStyle w:val="Paragraphedeliste"/>
        <w:numPr>
          <w:ilvl w:val="0"/>
          <w:numId w:val="28"/>
        </w:numPr>
        <w:rPr>
          <w:lang w:val="fr-FR"/>
        </w:rPr>
      </w:pPr>
      <w:r>
        <w:rPr>
          <w:lang w:val="fr-FR"/>
        </w:rPr>
        <w:t>Les charges constatées d’avance</w:t>
      </w:r>
    </w:p>
    <w:p w:rsidR="00E90A6D" w:rsidRDefault="00E90A6D" w:rsidP="00E90A6D">
      <w:pPr>
        <w:pStyle w:val="Paragraphedeliste"/>
        <w:numPr>
          <w:ilvl w:val="0"/>
          <w:numId w:val="28"/>
        </w:numPr>
        <w:rPr>
          <w:lang w:val="fr-FR"/>
        </w:rPr>
      </w:pPr>
      <w:r>
        <w:rPr>
          <w:lang w:val="fr-FR"/>
        </w:rPr>
        <w:t>Les produits constatés d’avance</w:t>
      </w:r>
    </w:p>
    <w:p w:rsidR="00A97328" w:rsidRDefault="00A97328" w:rsidP="00A97328">
      <w:pPr>
        <w:rPr>
          <w:lang w:val="fr-FR"/>
        </w:rPr>
      </w:pPr>
      <w:r>
        <w:rPr>
          <w:lang w:val="fr-FR"/>
        </w:rPr>
        <w:t>Les comptes de régularisation enregistrent :</w:t>
      </w:r>
    </w:p>
    <w:p w:rsidR="00A97328" w:rsidRDefault="00A97328" w:rsidP="00A97328">
      <w:pPr>
        <w:pStyle w:val="Paragraphedeliste"/>
        <w:numPr>
          <w:ilvl w:val="0"/>
          <w:numId w:val="29"/>
        </w:numPr>
        <w:rPr>
          <w:lang w:val="fr-FR"/>
        </w:rPr>
      </w:pPr>
      <w:r>
        <w:rPr>
          <w:lang w:val="fr-FR"/>
        </w:rPr>
        <w:lastRenderedPageBreak/>
        <w:t>D’une part, les charges et les produits comptabilisés dans l’exercice mais pouvant être réparties systématiquement à l’exercice ou aux exercices ultérieurs ;</w:t>
      </w:r>
    </w:p>
    <w:p w:rsidR="00A97328" w:rsidRDefault="00A97328" w:rsidP="00A97328">
      <w:pPr>
        <w:pStyle w:val="Paragraphedeliste"/>
        <w:numPr>
          <w:ilvl w:val="0"/>
          <w:numId w:val="29"/>
        </w:numPr>
        <w:rPr>
          <w:lang w:val="fr-FR"/>
        </w:rPr>
      </w:pPr>
      <w:r>
        <w:rPr>
          <w:lang w:val="fr-FR"/>
        </w:rPr>
        <w:t>D’autre part, les charges comptabilisées dans l’exercice mais pouvant être réparties systématiquement sur plusieurs exercices ultérieurs.</w:t>
      </w:r>
    </w:p>
    <w:p w:rsidR="00A97328" w:rsidRPr="00A97328" w:rsidRDefault="00A97328" w:rsidP="00A97328">
      <w:pPr>
        <w:rPr>
          <w:lang w:val="fr-FR"/>
        </w:rPr>
      </w:pPr>
      <w:r>
        <w:rPr>
          <w:lang w:val="fr-FR"/>
        </w:rPr>
        <w:t>Y est adjointe la répartition des charges et produits par périodes comptables durant l’exercice par le système de l’abonnement.</w:t>
      </w:r>
    </w:p>
    <w:p w:rsidR="00B4474D" w:rsidRDefault="003E5649" w:rsidP="003E5649">
      <w:pPr>
        <w:rPr>
          <w:lang w:val="fr-FR"/>
        </w:rPr>
      </w:pPr>
      <w:r w:rsidRPr="001969AF">
        <w:rPr>
          <w:i/>
          <w:lang w:val="fr-FR"/>
        </w:rPr>
        <w:t>4816 Charges à répartir sur plusieurs exercices</w:t>
      </w:r>
      <w:r>
        <w:rPr>
          <w:lang w:val="fr-FR"/>
        </w:rPr>
        <w:t xml:space="preserve"> – frais d’émission des emprunts </w:t>
      </w:r>
    </w:p>
    <w:p w:rsidR="003E5649" w:rsidRDefault="003E5649" w:rsidP="003E5649">
      <w:pPr>
        <w:rPr>
          <w:lang w:val="fr-FR"/>
        </w:rPr>
      </w:pPr>
      <w:r w:rsidRPr="001969AF">
        <w:rPr>
          <w:i/>
          <w:lang w:val="fr-FR"/>
        </w:rPr>
        <w:t>486 Charges constatées d’avance</w:t>
      </w:r>
      <w:r>
        <w:rPr>
          <w:lang w:val="fr-FR"/>
        </w:rPr>
        <w:t xml:space="preserve"> – il s’agit </w:t>
      </w:r>
      <w:r w:rsidR="001969AF">
        <w:rPr>
          <w:lang w:val="fr-FR"/>
        </w:rPr>
        <w:t>de charges qui correspondent à des achats de biens et de services dont la fourniture ou la prestation interviendra ultérieurement (exemple : fraction de loyers ou intérêts déjà comptabilisés en charge, mais concernant l’exercice suivant)</w:t>
      </w:r>
    </w:p>
    <w:p w:rsidR="001969AF" w:rsidRDefault="001969AF" w:rsidP="003E5649">
      <w:pPr>
        <w:rPr>
          <w:lang w:val="fr-FR"/>
        </w:rPr>
      </w:pPr>
      <w:r w:rsidRPr="001969AF">
        <w:rPr>
          <w:i/>
          <w:lang w:val="fr-FR"/>
        </w:rPr>
        <w:t>487 Produits constatés d’avance</w:t>
      </w:r>
      <w:r>
        <w:rPr>
          <w:lang w:val="fr-FR"/>
        </w:rPr>
        <w:t xml:space="preserve"> – il s’agit de produits perçus ou comptabilisés avant que les prestations ou les fournitures les justifiant aient été effectués ou fournies.</w:t>
      </w:r>
    </w:p>
    <w:p w:rsidR="001969AF" w:rsidRDefault="001969AF" w:rsidP="003E5649">
      <w:pPr>
        <w:rPr>
          <w:lang w:val="fr-FR"/>
        </w:rPr>
      </w:pPr>
      <w:r w:rsidRPr="001969AF">
        <w:rPr>
          <w:i/>
          <w:lang w:val="fr-FR"/>
        </w:rPr>
        <w:t>488 Compte de répartition périodique des charges et des produits</w:t>
      </w:r>
      <w:r>
        <w:rPr>
          <w:lang w:val="fr-FR"/>
        </w:rPr>
        <w:t xml:space="preserve"> –ce compte enregistre les charges et les produits dont le montant peut être connu ou fixé d’avance avec une précision suffisante et qu’on décide de répartir par fractions égales entre les périodes comptables de l’exercice. Il s’agit du système de l’abonnement.</w:t>
      </w:r>
    </w:p>
    <w:p w:rsidR="00B068B3" w:rsidRDefault="00B068B3" w:rsidP="00B068B3">
      <w:pPr>
        <w:rPr>
          <w:i/>
          <w:sz w:val="24"/>
          <w:lang w:val="fr-FR"/>
        </w:rPr>
      </w:pPr>
      <w:r w:rsidRPr="00B068B3">
        <w:rPr>
          <w:i/>
          <w:sz w:val="24"/>
          <w:lang w:val="fr-FR"/>
        </w:rPr>
        <w:t>C-Les comptes transitoires et d’attente</w:t>
      </w:r>
    </w:p>
    <w:p w:rsidR="00B068B3" w:rsidRPr="00B068B3" w:rsidRDefault="00B068B3" w:rsidP="00B068B3">
      <w:pPr>
        <w:rPr>
          <w:sz w:val="24"/>
          <w:lang w:val="fr-FR"/>
        </w:rPr>
      </w:pPr>
      <w:r w:rsidRPr="00B068B3">
        <w:rPr>
          <w:sz w:val="24"/>
          <w:lang w:val="fr-FR"/>
        </w:rPr>
        <w:t xml:space="preserve">Leur utilisation est limitée </w:t>
      </w:r>
      <w:r>
        <w:rPr>
          <w:sz w:val="24"/>
          <w:lang w:val="fr-FR"/>
        </w:rPr>
        <w:t>aux écarts de valorisation de certaines créances et dettes  enregistrées au bilan libellées en monnaie étrangères. Ils sont regroupés au compte 47 « Comptes transitoires ou d’attente »</w:t>
      </w:r>
    </w:p>
    <w:p w:rsidR="00B068B3" w:rsidRPr="00B068B3" w:rsidRDefault="00B068B3" w:rsidP="00B068B3">
      <w:pPr>
        <w:rPr>
          <w:sz w:val="24"/>
          <w:lang w:val="fr-FR"/>
        </w:rPr>
      </w:pPr>
    </w:p>
    <w:p w:rsidR="001969AF" w:rsidRDefault="001969AF" w:rsidP="003E5649">
      <w:pPr>
        <w:rPr>
          <w:lang w:val="fr-FR"/>
        </w:rPr>
      </w:pPr>
    </w:p>
    <w:p w:rsidR="003E5649" w:rsidRPr="003E5649" w:rsidRDefault="003E5649" w:rsidP="003E5649">
      <w:pPr>
        <w:rPr>
          <w:lang w:val="fr-FR"/>
        </w:rPr>
      </w:pPr>
    </w:p>
    <w:p w:rsidR="003E5649" w:rsidRDefault="003E5649" w:rsidP="00D2502B">
      <w:pPr>
        <w:pStyle w:val="Paragraphedeliste"/>
        <w:rPr>
          <w:lang w:val="fr-FR"/>
        </w:rPr>
      </w:pPr>
    </w:p>
    <w:p w:rsidR="003E5649" w:rsidRDefault="003E5649" w:rsidP="00D2502B">
      <w:pPr>
        <w:pStyle w:val="Paragraphedeliste"/>
        <w:rPr>
          <w:lang w:val="fr-FR"/>
        </w:rPr>
      </w:pPr>
    </w:p>
    <w:p w:rsidR="003E5649" w:rsidRDefault="003E5649" w:rsidP="00D2502B">
      <w:pPr>
        <w:pStyle w:val="Paragraphedeliste"/>
        <w:rPr>
          <w:lang w:val="fr-FR"/>
        </w:rPr>
      </w:pPr>
    </w:p>
    <w:p w:rsidR="003E5649" w:rsidRDefault="003E5649" w:rsidP="00D2502B">
      <w:pPr>
        <w:pStyle w:val="Paragraphedeliste"/>
        <w:rPr>
          <w:lang w:val="fr-FR"/>
        </w:rPr>
      </w:pPr>
    </w:p>
    <w:p w:rsidR="00B4474D" w:rsidRPr="00D2502B" w:rsidRDefault="006A4492" w:rsidP="00D2502B">
      <w:pPr>
        <w:pStyle w:val="Paragraphedeliste"/>
        <w:rPr>
          <w:lang w:val="fr-FR"/>
        </w:rPr>
      </w:pPr>
      <w:r w:rsidRPr="006A4492">
        <w:rPr>
          <w:b/>
          <w:noProof/>
          <w:sz w:val="20"/>
        </w:rPr>
        <w:pict>
          <v:line id="_x0000_s1092" style="position:absolute;left:0;text-align:left;z-index:251699200" from="294pt,18.05pt" to="294pt,72.05pt"/>
        </w:pict>
      </w:r>
      <w:r w:rsidRPr="006A4492">
        <w:rPr>
          <w:b/>
          <w:noProof/>
          <w:sz w:val="20"/>
        </w:rPr>
        <w:pict>
          <v:line id="_x0000_s1090" style="position:absolute;left:0;text-align:left;z-index:251697152" from="240pt,18.05pt" to="429pt,18.05pt"/>
        </w:pict>
      </w:r>
      <w:r w:rsidRPr="006A4492">
        <w:rPr>
          <w:b/>
          <w:noProof/>
          <w:sz w:val="20"/>
        </w:rPr>
        <w:pict>
          <v:line id="_x0000_s1093" style="position:absolute;left:0;text-align:left;z-index:251700224" from="81.75pt,18.05pt" to="81.75pt,72.05pt"/>
        </w:pict>
      </w:r>
      <w:r w:rsidRPr="006A4492">
        <w:rPr>
          <w:b/>
          <w:noProof/>
          <w:sz w:val="20"/>
        </w:rPr>
        <w:pict>
          <v:line id="_x0000_s1091" style="position:absolute;left:0;text-align:left;z-index:251698176" from="4.5pt,18.05pt" to="193.5pt,18.05pt"/>
        </w:pict>
      </w:r>
      <w:bookmarkEnd w:id="0"/>
    </w:p>
    <w:sectPr w:rsidR="00B4474D" w:rsidRPr="00D2502B"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9">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4">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7">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0">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2">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4">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5">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34"/>
  </w:num>
  <w:num w:numId="4">
    <w:abstractNumId w:val="31"/>
  </w:num>
  <w:num w:numId="5">
    <w:abstractNumId w:val="3"/>
  </w:num>
  <w:num w:numId="6">
    <w:abstractNumId w:val="29"/>
  </w:num>
  <w:num w:numId="7">
    <w:abstractNumId w:val="23"/>
  </w:num>
  <w:num w:numId="8">
    <w:abstractNumId w:val="24"/>
  </w:num>
  <w:num w:numId="9">
    <w:abstractNumId w:val="8"/>
  </w:num>
  <w:num w:numId="10">
    <w:abstractNumId w:val="21"/>
  </w:num>
  <w:num w:numId="11">
    <w:abstractNumId w:val="1"/>
  </w:num>
  <w:num w:numId="12">
    <w:abstractNumId w:val="16"/>
  </w:num>
  <w:num w:numId="13">
    <w:abstractNumId w:val="0"/>
  </w:num>
  <w:num w:numId="14">
    <w:abstractNumId w:val="12"/>
  </w:num>
  <w:num w:numId="15">
    <w:abstractNumId w:val="17"/>
  </w:num>
  <w:num w:numId="16">
    <w:abstractNumId w:val="25"/>
  </w:num>
  <w:num w:numId="17">
    <w:abstractNumId w:val="11"/>
  </w:num>
  <w:num w:numId="18">
    <w:abstractNumId w:val="2"/>
  </w:num>
  <w:num w:numId="19">
    <w:abstractNumId w:val="19"/>
  </w:num>
  <w:num w:numId="20">
    <w:abstractNumId w:val="13"/>
  </w:num>
  <w:num w:numId="21">
    <w:abstractNumId w:val="22"/>
  </w:num>
  <w:num w:numId="22">
    <w:abstractNumId w:val="6"/>
  </w:num>
  <w:num w:numId="23">
    <w:abstractNumId w:val="20"/>
  </w:num>
  <w:num w:numId="24">
    <w:abstractNumId w:val="14"/>
  </w:num>
  <w:num w:numId="25">
    <w:abstractNumId w:val="7"/>
  </w:num>
  <w:num w:numId="26">
    <w:abstractNumId w:val="27"/>
  </w:num>
  <w:num w:numId="27">
    <w:abstractNumId w:val="4"/>
  </w:num>
  <w:num w:numId="28">
    <w:abstractNumId w:val="5"/>
  </w:num>
  <w:num w:numId="29">
    <w:abstractNumId w:val="10"/>
  </w:num>
  <w:num w:numId="30">
    <w:abstractNumId w:val="30"/>
  </w:num>
  <w:num w:numId="31">
    <w:abstractNumId w:val="15"/>
  </w:num>
  <w:num w:numId="32">
    <w:abstractNumId w:val="32"/>
  </w:num>
  <w:num w:numId="33">
    <w:abstractNumId w:val="33"/>
  </w:num>
  <w:num w:numId="34">
    <w:abstractNumId w:val="28"/>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042D2"/>
    <w:rsid w:val="00011D16"/>
    <w:rsid w:val="00050A8D"/>
    <w:rsid w:val="000648CB"/>
    <w:rsid w:val="000944F0"/>
    <w:rsid w:val="00096E96"/>
    <w:rsid w:val="000A5614"/>
    <w:rsid w:val="000B1FA6"/>
    <w:rsid w:val="000E768D"/>
    <w:rsid w:val="00124A65"/>
    <w:rsid w:val="00143C18"/>
    <w:rsid w:val="00152374"/>
    <w:rsid w:val="001969AF"/>
    <w:rsid w:val="0020373E"/>
    <w:rsid w:val="00205E2D"/>
    <w:rsid w:val="002060E8"/>
    <w:rsid w:val="00286996"/>
    <w:rsid w:val="00295908"/>
    <w:rsid w:val="002E6172"/>
    <w:rsid w:val="00352590"/>
    <w:rsid w:val="00361D73"/>
    <w:rsid w:val="00365889"/>
    <w:rsid w:val="00366226"/>
    <w:rsid w:val="003C42F2"/>
    <w:rsid w:val="003D1A55"/>
    <w:rsid w:val="003D5FBC"/>
    <w:rsid w:val="003E5649"/>
    <w:rsid w:val="00400BF8"/>
    <w:rsid w:val="00440A23"/>
    <w:rsid w:val="00446422"/>
    <w:rsid w:val="00450133"/>
    <w:rsid w:val="00450D77"/>
    <w:rsid w:val="004541C6"/>
    <w:rsid w:val="004626D9"/>
    <w:rsid w:val="00464CEC"/>
    <w:rsid w:val="004755E4"/>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43BDA"/>
    <w:rsid w:val="00687EF9"/>
    <w:rsid w:val="006A4492"/>
    <w:rsid w:val="006C47BC"/>
    <w:rsid w:val="006F644F"/>
    <w:rsid w:val="0071201D"/>
    <w:rsid w:val="007369D6"/>
    <w:rsid w:val="007515A2"/>
    <w:rsid w:val="00785FEF"/>
    <w:rsid w:val="007A15E4"/>
    <w:rsid w:val="007B3A7D"/>
    <w:rsid w:val="00806E20"/>
    <w:rsid w:val="008D5007"/>
    <w:rsid w:val="009240F9"/>
    <w:rsid w:val="00973C84"/>
    <w:rsid w:val="009E4014"/>
    <w:rsid w:val="00A057E6"/>
    <w:rsid w:val="00A45800"/>
    <w:rsid w:val="00A97328"/>
    <w:rsid w:val="00AA031B"/>
    <w:rsid w:val="00B05C16"/>
    <w:rsid w:val="00B068B3"/>
    <w:rsid w:val="00B302D6"/>
    <w:rsid w:val="00B4474D"/>
    <w:rsid w:val="00B60AAB"/>
    <w:rsid w:val="00B75F11"/>
    <w:rsid w:val="00BC2AFF"/>
    <w:rsid w:val="00BE2BA9"/>
    <w:rsid w:val="00C031D4"/>
    <w:rsid w:val="00C07D7B"/>
    <w:rsid w:val="00C12C26"/>
    <w:rsid w:val="00C6198D"/>
    <w:rsid w:val="00CA599E"/>
    <w:rsid w:val="00CA7CF0"/>
    <w:rsid w:val="00CC4667"/>
    <w:rsid w:val="00CD2853"/>
    <w:rsid w:val="00D020CB"/>
    <w:rsid w:val="00D2502B"/>
    <w:rsid w:val="00D2705A"/>
    <w:rsid w:val="00D80D61"/>
    <w:rsid w:val="00D9513A"/>
    <w:rsid w:val="00DE2E67"/>
    <w:rsid w:val="00E32677"/>
    <w:rsid w:val="00E76B98"/>
    <w:rsid w:val="00E82704"/>
    <w:rsid w:val="00E90A6D"/>
    <w:rsid w:val="00EE1A5D"/>
    <w:rsid w:val="00FC57C1"/>
    <w:rsid w:val="00FC78BC"/>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67AE1-7BAA-472C-A361-5223DD2F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PATXI</cp:lastModifiedBy>
  <cp:revision>2</cp:revision>
  <cp:lastPrinted>2009-07-20T15:39:00Z</cp:lastPrinted>
  <dcterms:created xsi:type="dcterms:W3CDTF">2010-11-19T15:30:00Z</dcterms:created>
  <dcterms:modified xsi:type="dcterms:W3CDTF">2010-11-19T15:30:00Z</dcterms:modified>
</cp:coreProperties>
</file>