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7F6" w:rsidRDefault="003657F6">
      <w:pPr>
        <w:contextualSpacing/>
      </w:pPr>
    </w:p>
    <w:p w:rsidR="003657F6" w:rsidRDefault="00B97ECD" w:rsidP="00B97ECD">
      <w:pPr>
        <w:pStyle w:val="Titre1"/>
      </w:pPr>
      <w:r>
        <w:t>Approche Fondamentale</w:t>
      </w:r>
    </w:p>
    <w:p w:rsidR="003657F6" w:rsidRDefault="003657F6">
      <w:pPr>
        <w:contextualSpacing/>
      </w:pPr>
    </w:p>
    <w:p w:rsidR="003657F6" w:rsidRDefault="003657F6">
      <w:pPr>
        <w:contextualSpacing/>
      </w:pPr>
    </w:p>
    <w:p w:rsidR="003657F6" w:rsidRDefault="003657F6">
      <w:pPr>
        <w:contextualSpacing/>
      </w:pPr>
    </w:p>
    <w:p w:rsidR="003657F6" w:rsidRDefault="00654C24">
      <w:pPr>
        <w:contextualSpacing/>
        <w:rPr>
          <w:u w:val="single"/>
        </w:rPr>
      </w:pPr>
      <w:r>
        <w:rPr>
          <w:u w:val="single"/>
        </w:rPr>
        <w:t xml:space="preserve">Modèle </w:t>
      </w:r>
      <w:r w:rsidR="003657F6" w:rsidRPr="003657F6">
        <w:rPr>
          <w:u w:val="single"/>
        </w:rPr>
        <w:t>Irving-fisher :</w:t>
      </w:r>
    </w:p>
    <w:p w:rsidR="00654C24" w:rsidRDefault="00654C24" w:rsidP="00654C24">
      <w:pPr>
        <w:pStyle w:val="Paragraphedeliste"/>
        <w:numPr>
          <w:ilvl w:val="0"/>
          <w:numId w:val="1"/>
        </w:numPr>
      </w:pPr>
      <w:r>
        <w:t>Plus ancien mais le plus utilisé</w:t>
      </w:r>
    </w:p>
    <w:p w:rsidR="00654C24" w:rsidRPr="00654C24" w:rsidRDefault="00654C24" w:rsidP="00654C24">
      <w:pPr>
        <w:pStyle w:val="Paragraphedeliste"/>
        <w:numPr>
          <w:ilvl w:val="0"/>
          <w:numId w:val="2"/>
        </w:numPr>
      </w:pPr>
      <w:r>
        <w:t>Evoluer le prix de l’action d’une societe en tenant compte des dividendes qu’elle versera.</w:t>
      </w:r>
    </w:p>
    <w:p w:rsidR="003657F6" w:rsidRDefault="003657F6">
      <w:pPr>
        <w:contextualSpacing/>
      </w:pPr>
      <w:r>
        <w:t>Seront fixent dans le temps</w:t>
      </w:r>
    </w:p>
    <w:p w:rsidR="003657F6" w:rsidRDefault="003657F6">
      <w:pPr>
        <w:contextualSpacing/>
      </w:pPr>
    </w:p>
    <w:p w:rsidR="003657F6" w:rsidRDefault="003657F6">
      <w:pPr>
        <w:contextualSpacing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P0=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</m:t>
              </m:r>
            </m:num>
            <m:den>
              <m:r>
                <w:rPr>
                  <w:rFonts w:ascii="Cambria Math" w:hAnsi="Cambria Math"/>
                </w:rPr>
                <m:t>1+τ</m:t>
              </m:r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</m:t>
              </m:r>
            </m:num>
            <m:den>
              <m:r>
                <w:rPr>
                  <w:rFonts w:ascii="Cambria Math" w:hAnsi="Cambria Math"/>
                </w:rPr>
                <m:t>(1+τ)²</m:t>
              </m:r>
            </m:den>
          </m:f>
          <m:r>
            <w:rPr>
              <w:rFonts w:ascii="Cambria Math" w:hAnsi="Cambria Math"/>
            </w:rPr>
            <m:t>)+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P2</m:t>
              </m:r>
            </m:num>
            <m:den>
              <m:r>
                <w:rPr>
                  <w:rFonts w:ascii="Cambria Math" w:hAnsi="Cambria Math"/>
                </w:rPr>
                <m:t>(1+τ)²</m:t>
              </m:r>
            </m:den>
          </m:f>
        </m:oMath>
      </m:oMathPara>
    </w:p>
    <w:p w:rsidR="003657F6" w:rsidRDefault="003657F6">
      <w:pPr>
        <w:contextualSpacing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P0=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i=1</m:t>
              </m:r>
            </m:sub>
            <m:sup>
              <m:r>
                <w:rPr>
                  <w:rFonts w:ascii="Cambria Math" w:hAnsi="Cambria Math"/>
                </w:rPr>
                <m:t>∞</m:t>
              </m:r>
            </m:sup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D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(1+τ)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n</m:t>
                      </m:r>
                    </m:sup>
                  </m:sSup>
                </m:den>
              </m:f>
            </m:e>
          </m:nary>
        </m:oMath>
      </m:oMathPara>
    </w:p>
    <w:p w:rsidR="00CA071A" w:rsidRPr="005E4931" w:rsidRDefault="00CA071A">
      <w:pPr>
        <w:contextualSpacing/>
        <w:rPr>
          <w:rFonts w:eastAsiaTheme="minorEastAsia"/>
          <w:lang w:val="en-US"/>
        </w:rPr>
      </w:pPr>
      <w:r w:rsidRPr="005E4931">
        <w:rPr>
          <w:rFonts w:eastAsiaTheme="minorEastAsia"/>
          <w:lang w:val="en-US"/>
        </w:rPr>
        <w:t>*Formule1*</w:t>
      </w:r>
    </w:p>
    <w:p w:rsidR="00CA071A" w:rsidRPr="005E4931" w:rsidRDefault="00CA071A">
      <w:pPr>
        <w:contextualSpacing/>
        <w:rPr>
          <w:rFonts w:eastAsiaTheme="minorEastAsia"/>
          <w:lang w:val="en-US"/>
        </w:rPr>
      </w:pPr>
    </w:p>
    <w:p w:rsidR="00CA071A" w:rsidRDefault="00CA071A">
      <w:pPr>
        <w:contextualSpacing/>
        <w:rPr>
          <w:rFonts w:eastAsiaTheme="minorEastAsia"/>
          <w:lang w:val="en-US"/>
        </w:rPr>
      </w:pPr>
      <w:r w:rsidRPr="00CA071A">
        <w:rPr>
          <w:rFonts w:eastAsiaTheme="minorEastAsia"/>
          <w:lang w:val="en-US"/>
        </w:rPr>
        <w:t>P.E.R :</w:t>
      </w:r>
      <w:r w:rsidR="00FE621D">
        <w:rPr>
          <w:rFonts w:eastAsiaTheme="minorEastAsia"/>
          <w:lang w:val="en-US"/>
        </w:rPr>
        <w:t xml:space="preserve"> Price Earning R</w:t>
      </w:r>
      <w:r w:rsidRPr="00CA071A">
        <w:rPr>
          <w:rFonts w:eastAsiaTheme="minorEastAsia"/>
          <w:lang w:val="en-US"/>
        </w:rPr>
        <w:t>atio</w:t>
      </w:r>
      <w:r w:rsidR="00654C24">
        <w:rPr>
          <w:rFonts w:eastAsiaTheme="minorEastAsia"/>
          <w:lang w:val="en-US"/>
        </w:rPr>
        <w:t xml:space="preserve"> </w:t>
      </w:r>
    </w:p>
    <w:p w:rsidR="00654C24" w:rsidRDefault="00654C24">
      <w:pPr>
        <w:contextualSpacing/>
        <w:rPr>
          <w:rFonts w:eastAsiaTheme="minorEastAsia"/>
          <w:lang w:val="en-US"/>
        </w:rPr>
      </w:pPr>
    </w:p>
    <w:p w:rsidR="00654C24" w:rsidRDefault="00654C24">
      <w:pPr>
        <w:contextualSpacing/>
        <w:rPr>
          <w:rFonts w:eastAsiaTheme="minorEastAsia"/>
          <w:lang w:val="en-US"/>
        </w:rPr>
      </w:pPr>
    </w:p>
    <w:p w:rsidR="00654C24" w:rsidRDefault="00654C24">
      <w:pPr>
        <w:contextualSpacing/>
        <w:rPr>
          <w:rFonts w:eastAsiaTheme="minorEastAsia"/>
          <w:lang w:val="en-US"/>
        </w:rPr>
      </w:pPr>
    </w:p>
    <w:p w:rsidR="00654C24" w:rsidRPr="005E4931" w:rsidRDefault="00654C24">
      <w:pPr>
        <w:contextualSpacing/>
        <w:rPr>
          <w:rFonts w:eastAsiaTheme="minorEastAsia"/>
          <w:u w:val="single"/>
        </w:rPr>
      </w:pPr>
      <w:r w:rsidRPr="005E4931">
        <w:rPr>
          <w:rFonts w:eastAsiaTheme="minorEastAsia"/>
          <w:u w:val="single"/>
        </w:rPr>
        <w:t>Modèle Gordon-Shapiro:</w:t>
      </w:r>
    </w:p>
    <w:p w:rsidR="00654C24" w:rsidRPr="005E4931" w:rsidRDefault="00654C24">
      <w:pPr>
        <w:contextualSpacing/>
        <w:rPr>
          <w:u w:val="single"/>
        </w:rPr>
      </w:pPr>
    </w:p>
    <w:p w:rsidR="00EE798A" w:rsidRPr="005E4931" w:rsidRDefault="00EE798A">
      <w:pPr>
        <w:contextualSpacing/>
      </w:pPr>
      <w:r w:rsidRPr="005E4931">
        <w:t>*Formule2*</w:t>
      </w:r>
    </w:p>
    <w:p w:rsidR="00EE798A" w:rsidRPr="005E4931" w:rsidRDefault="00EE798A">
      <w:pPr>
        <w:contextualSpacing/>
      </w:pPr>
    </w:p>
    <w:p w:rsidR="00EE798A" w:rsidRPr="005E4931" w:rsidRDefault="00EE798A">
      <w:pPr>
        <w:contextualSpacing/>
        <w:rPr>
          <w:u w:val="single"/>
        </w:rPr>
      </w:pPr>
      <w:r w:rsidRPr="005E4931">
        <w:rPr>
          <w:u w:val="single"/>
        </w:rPr>
        <w:t>Modele Molodowski</w:t>
      </w:r>
    </w:p>
    <w:p w:rsidR="00EE798A" w:rsidRPr="005E4931" w:rsidRDefault="00EE798A">
      <w:pPr>
        <w:contextualSpacing/>
        <w:rPr>
          <w:u w:val="single"/>
        </w:rPr>
      </w:pPr>
    </w:p>
    <w:p w:rsidR="00EE798A" w:rsidRPr="00EE798A" w:rsidRDefault="00EE798A">
      <w:pPr>
        <w:contextualSpacing/>
      </w:pPr>
      <w:r w:rsidRPr="00EE798A">
        <w:t>3 périodes de temps</w:t>
      </w:r>
    </w:p>
    <w:p w:rsidR="00EE798A" w:rsidRPr="00EE798A" w:rsidRDefault="00EE798A">
      <w:pPr>
        <w:contextualSpacing/>
      </w:pPr>
      <w:r w:rsidRPr="00EE798A">
        <w:t>Periode1: g fixe et D doivent monter</w:t>
      </w:r>
    </w:p>
    <w:p w:rsidR="00EE798A" w:rsidRDefault="00EE798A">
      <w:pPr>
        <w:contextualSpacing/>
      </w:pPr>
      <w:r>
        <w:t>Periode2 : g chute et D montent</w:t>
      </w:r>
    </w:p>
    <w:p w:rsidR="00EE798A" w:rsidRDefault="00EE798A">
      <w:pPr>
        <w:contextualSpacing/>
      </w:pPr>
      <w:r>
        <w:t>Periode3 : fixe pour les 2.</w:t>
      </w:r>
    </w:p>
    <w:p w:rsidR="00B97ECD" w:rsidRDefault="00B97ECD">
      <w:pPr>
        <w:contextualSpacing/>
      </w:pPr>
    </w:p>
    <w:p w:rsidR="00B97ECD" w:rsidRDefault="00B97ECD">
      <w:pPr>
        <w:contextualSpacing/>
      </w:pPr>
    </w:p>
    <w:p w:rsidR="00B97ECD" w:rsidRDefault="00B97ECD" w:rsidP="00B97ECD">
      <w:pPr>
        <w:pStyle w:val="Titre1"/>
      </w:pPr>
    </w:p>
    <w:p w:rsidR="00B97ECD" w:rsidRDefault="00B97ECD" w:rsidP="00B97ECD">
      <w:pPr>
        <w:pStyle w:val="Titre1"/>
      </w:pPr>
    </w:p>
    <w:p w:rsidR="00B97ECD" w:rsidRDefault="00B97ECD" w:rsidP="00B97ECD">
      <w:pPr>
        <w:pStyle w:val="Titre1"/>
      </w:pPr>
      <w:r>
        <w:t>Analyse technique :</w:t>
      </w:r>
    </w:p>
    <w:p w:rsidR="00B97ECD" w:rsidRDefault="00B97ECD" w:rsidP="00B97ECD">
      <w:pPr>
        <w:pStyle w:val="Titre2"/>
      </w:pPr>
      <w:r>
        <w:t>Marché monopériode :</w:t>
      </w:r>
    </w:p>
    <w:p w:rsidR="00B97ECD" w:rsidRDefault="00B97ECD" w:rsidP="00E7527C">
      <w:pPr>
        <w:contextualSpacing/>
      </w:pPr>
    </w:p>
    <w:p w:rsidR="00E7527C" w:rsidRDefault="00E7527C" w:rsidP="00E7527C">
      <w:pPr>
        <w:contextualSpacing/>
      </w:pPr>
      <w:r>
        <w:t>2 instant : 0 et T</w:t>
      </w:r>
    </w:p>
    <w:p w:rsidR="00E7527C" w:rsidRDefault="00E7527C" w:rsidP="00E7527C">
      <w:pPr>
        <w:contextualSpacing/>
      </w:pPr>
      <w:r>
        <w:t>Un espace de probabilité (</w:t>
      </w:r>
      <w:r>
        <w:rPr>
          <w:rFonts w:cstheme="minorHAnsi"/>
        </w:rPr>
        <w:t>Ω</w:t>
      </w:r>
      <w:r>
        <w:t>,F,P)</w:t>
      </w:r>
    </w:p>
    <w:p w:rsidR="00E7527C" w:rsidRDefault="00E7527C" w:rsidP="00E7527C">
      <w:pPr>
        <w:contextualSpacing/>
      </w:pPr>
      <w:r>
        <w:t>N actifs</w:t>
      </w:r>
    </w:p>
    <w:p w:rsidR="00E7527C" w:rsidRDefault="00E7527C" w:rsidP="00E7527C">
      <w:pPr>
        <w:contextualSpacing/>
      </w:pPr>
    </w:p>
    <w:p w:rsidR="00E7527C" w:rsidRDefault="00E7527C" w:rsidP="00E7527C">
      <w:pPr>
        <w:contextualSpacing/>
      </w:pPr>
      <w:r>
        <w:t>Et 1 actif sans risques</w:t>
      </w:r>
    </w:p>
    <w:p w:rsidR="00CC1A1B" w:rsidRDefault="00CC1A1B" w:rsidP="00E7527C">
      <w:pPr>
        <w:contextualSpacing/>
      </w:pPr>
    </w:p>
    <w:p w:rsidR="00CC1A1B" w:rsidRDefault="00CC1A1B" w:rsidP="00E7527C">
      <w:pPr>
        <w:contextualSpacing/>
      </w:pPr>
      <w:r>
        <w:t>Quel sera le gain ?: g(t)= V1(t)-V2(t)</w:t>
      </w:r>
    </w:p>
    <w:p w:rsidR="005E4931" w:rsidRDefault="005E4931" w:rsidP="00E7527C">
      <w:pPr>
        <w:contextualSpacing/>
      </w:pPr>
    </w:p>
    <w:p w:rsidR="005E4931" w:rsidRDefault="005E4931" w:rsidP="00E7527C">
      <w:pPr>
        <w:contextualSpacing/>
      </w:pPr>
      <w:r>
        <w:t>Definition fondamentale de la finance : un portye feuille d’arbitrage ou une oportunité d arbitrage, c’est un porte feuille teta telque une des deux assertion A iou B suivantes sont vraies :</w:t>
      </w:r>
    </w:p>
    <w:p w:rsidR="005E4931" w:rsidRDefault="005E4931" w:rsidP="005E4931">
      <w:pPr>
        <w:pStyle w:val="Paragraphedeliste"/>
        <w:numPr>
          <w:ilvl w:val="1"/>
          <w:numId w:val="1"/>
        </w:numPr>
      </w:pPr>
      <w:r>
        <w:t xml:space="preserve">A : </w:t>
      </w:r>
      <w:r>
        <w:tab/>
        <w:t>V0(teta)=0</w:t>
      </w:r>
    </w:p>
    <w:p w:rsidR="005E4931" w:rsidRDefault="005E4931" w:rsidP="005E4931">
      <w:pPr>
        <w:pStyle w:val="Paragraphedeliste"/>
        <w:ind w:left="2124"/>
      </w:pPr>
      <w:r>
        <w:t>Vt(teta)&gt;=0</w:t>
      </w:r>
    </w:p>
    <w:p w:rsidR="005E4931" w:rsidRDefault="005E4931" w:rsidP="005E4931">
      <w:pPr>
        <w:pStyle w:val="Paragraphedeliste"/>
        <w:ind w:left="2124"/>
      </w:pPr>
      <w:r>
        <w:t>P(Vt(teta)&gt;0)&gt;0</w:t>
      </w:r>
    </w:p>
    <w:p w:rsidR="005E4931" w:rsidRDefault="005E4931" w:rsidP="005E4931"/>
    <w:p w:rsidR="005E4931" w:rsidRDefault="005E4931" w:rsidP="005E4931">
      <w:pPr>
        <w:pStyle w:val="Paragraphedeliste"/>
        <w:numPr>
          <w:ilvl w:val="1"/>
          <w:numId w:val="1"/>
        </w:numPr>
      </w:pPr>
      <w:r>
        <w:t>B</w:t>
      </w:r>
      <w:r w:rsidR="003B2507">
        <w:tab/>
        <w:t>V0(teta)&lt;0</w:t>
      </w:r>
    </w:p>
    <w:p w:rsidR="005E4931" w:rsidRDefault="003B2507" w:rsidP="003B2507">
      <w:pPr>
        <w:pStyle w:val="Paragraphedeliste"/>
        <w:ind w:left="2124"/>
      </w:pPr>
      <w:r>
        <w:t>Vt(teta)&gt;=0</w:t>
      </w:r>
    </w:p>
    <w:p w:rsidR="005E4931" w:rsidRDefault="005E4931" w:rsidP="005E4931"/>
    <w:p w:rsidR="005E4931" w:rsidRDefault="005E4931" w:rsidP="005E4931">
      <w:r>
        <w:t>Si dans un marché il n’y a pas de portefeuille d’arbi</w:t>
      </w:r>
      <w:r w:rsidR="003B2507">
        <w:t>trage, on dit</w:t>
      </w:r>
      <w:r>
        <w:t xml:space="preserve"> qu’il y a AOA </w:t>
      </w:r>
      <w:r w:rsidR="003B2507">
        <w:t xml:space="preserve">(absence d’opportunité d’arbitrage) </w:t>
      </w:r>
      <w:r>
        <w:t>ou bien on di</w:t>
      </w:r>
      <w:r w:rsidR="003B2507">
        <w:t>t</w:t>
      </w:r>
      <w:r>
        <w:t xml:space="preserve"> que ce marché est arbitré</w:t>
      </w:r>
      <w:r w:rsidR="003B2507">
        <w:t>.</w:t>
      </w:r>
    </w:p>
    <w:p w:rsidR="00AA5333" w:rsidRDefault="00AA5333" w:rsidP="005E4931">
      <w:r>
        <w:t>Un portefeuille sans risques est un porte feuille qui donne le même pay off quelque soit l’état de la nature.</w:t>
      </w:r>
    </w:p>
    <w:p w:rsidR="00AA5333" w:rsidRDefault="00AA5333" w:rsidP="00AA5333">
      <w:pPr>
        <w:pStyle w:val="Paragraphedeliste"/>
        <w:numPr>
          <w:ilvl w:val="0"/>
          <w:numId w:val="2"/>
        </w:numPr>
      </w:pPr>
      <w:r>
        <w:t>Z</w:t>
      </w:r>
      <w:r>
        <w:rPr>
          <w:rFonts w:cstheme="minorHAnsi"/>
        </w:rPr>
        <w:t>θ</w:t>
      </w:r>
      <w:r>
        <w:t>=R</w:t>
      </w:r>
    </w:p>
    <w:p w:rsidR="00AA5333" w:rsidRDefault="00AA5333" w:rsidP="00AA5333"/>
    <w:p w:rsidR="00AA5333" w:rsidRDefault="009538FA" w:rsidP="00AA5333">
      <w:r>
        <w:t>On dit qu’un marché est arbitré</w:t>
      </w:r>
      <w:r w:rsidR="00E068D5">
        <w:t xml:space="preserve"> si et seulement si quelquesoit k Beta</w:t>
      </w:r>
      <w:r w:rsidR="00E068D5">
        <w:rPr>
          <w:vertAlign w:val="subscript"/>
        </w:rPr>
        <w:t>k</w:t>
      </w:r>
      <w:r w:rsidR="00E068D5">
        <w:t>&gt;0</w:t>
      </w:r>
    </w:p>
    <w:p w:rsidR="00E068D5" w:rsidRPr="00E068D5" w:rsidRDefault="00E068D5" w:rsidP="00AA5333">
      <w:r>
        <w:t>Un marche est complet ssi le rang de la matrice est égale au nombre d’actif sur le marché.</w:t>
      </w:r>
    </w:p>
    <w:sectPr w:rsidR="00E068D5" w:rsidRPr="00E068D5" w:rsidSect="00C129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F47988"/>
    <w:multiLevelType w:val="hybridMultilevel"/>
    <w:tmpl w:val="5CF221A2"/>
    <w:lvl w:ilvl="0" w:tplc="11068C7A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FB7A7C"/>
    <w:multiLevelType w:val="hybridMultilevel"/>
    <w:tmpl w:val="0654231E"/>
    <w:lvl w:ilvl="0" w:tplc="36E2E26C">
      <w:start w:val="16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3657F6"/>
    <w:rsid w:val="003657F6"/>
    <w:rsid w:val="003B2507"/>
    <w:rsid w:val="004A0F00"/>
    <w:rsid w:val="005E4931"/>
    <w:rsid w:val="00654C24"/>
    <w:rsid w:val="009538FA"/>
    <w:rsid w:val="00AA5333"/>
    <w:rsid w:val="00B97ECD"/>
    <w:rsid w:val="00C12983"/>
    <w:rsid w:val="00CA071A"/>
    <w:rsid w:val="00CC1A1B"/>
    <w:rsid w:val="00E068D5"/>
    <w:rsid w:val="00E7527C"/>
    <w:rsid w:val="00EE798A"/>
    <w:rsid w:val="00FA3AA2"/>
    <w:rsid w:val="00FE62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2983"/>
  </w:style>
  <w:style w:type="paragraph" w:styleId="Titre1">
    <w:name w:val="heading 1"/>
    <w:basedOn w:val="Normal"/>
    <w:next w:val="Normal"/>
    <w:link w:val="Titre1Car"/>
    <w:uiPriority w:val="9"/>
    <w:qFormat/>
    <w:rsid w:val="00B97EC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97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3657F6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65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657F6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654C24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B97E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B97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2</Pages>
  <Words>209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2011-05-10T12:56:00Z</dcterms:created>
  <dcterms:modified xsi:type="dcterms:W3CDTF">2011-05-10T16:08:00Z</dcterms:modified>
</cp:coreProperties>
</file>