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 xml:space="preserve">FICHE </w:t>
      </w:r>
      <w:r w:rsidR="00BC07D8">
        <w:rPr>
          <w:color w:val="548DD4" w:themeColor="text2" w:themeTint="99"/>
          <w:sz w:val="44"/>
          <w:lang w:val="fr-FR"/>
        </w:rPr>
        <w:t>1</w:t>
      </w:r>
      <w:r w:rsidR="00616D8A">
        <w:rPr>
          <w:color w:val="548DD4" w:themeColor="text2" w:themeTint="99"/>
          <w:sz w:val="44"/>
          <w:lang w:val="fr-FR"/>
        </w:rPr>
        <w:t>7</w:t>
      </w:r>
      <w:r w:rsidR="00205E2D" w:rsidRPr="00414E96">
        <w:rPr>
          <w:color w:val="548DD4" w:themeColor="text2" w:themeTint="99"/>
          <w:sz w:val="44"/>
          <w:lang w:val="fr-FR"/>
        </w:rPr>
        <w:t xml:space="preserve">: </w:t>
      </w:r>
      <w:r w:rsidR="00616D8A">
        <w:rPr>
          <w:color w:val="548DD4" w:themeColor="text2" w:themeTint="99"/>
          <w:sz w:val="44"/>
          <w:lang w:val="fr-FR"/>
        </w:rPr>
        <w:t>NORMES IAS IFRS</w:t>
      </w:r>
    </w:p>
    <w:p w:rsidR="00354293" w:rsidRDefault="00354293" w:rsidP="00354293">
      <w:pPr>
        <w:pBdr>
          <w:bottom w:val="single" w:sz="12" w:space="1" w:color="auto"/>
        </w:pBdr>
        <w:rPr>
          <w:color w:val="548DD4" w:themeColor="text2" w:themeTint="99"/>
          <w:sz w:val="36"/>
          <w:lang w:val="fr-FR"/>
        </w:rPr>
      </w:pPr>
      <w:r>
        <w:rPr>
          <w:color w:val="548DD4" w:themeColor="text2" w:themeTint="99"/>
          <w:sz w:val="36"/>
          <w:lang w:val="fr-FR"/>
        </w:rPr>
        <w:t>D’après le</w:t>
      </w:r>
      <w:r w:rsidR="00B54E32">
        <w:rPr>
          <w:color w:val="548DD4" w:themeColor="text2" w:themeTint="99"/>
          <w:sz w:val="36"/>
          <w:lang w:val="fr-FR"/>
        </w:rPr>
        <w:t>s</w:t>
      </w:r>
      <w:r>
        <w:rPr>
          <w:color w:val="548DD4" w:themeColor="text2" w:themeTint="99"/>
          <w:sz w:val="36"/>
          <w:lang w:val="fr-FR"/>
        </w:rPr>
        <w:t xml:space="preserve"> </w:t>
      </w:r>
      <w:r w:rsidR="00616D8A">
        <w:rPr>
          <w:color w:val="548DD4" w:themeColor="text2" w:themeTint="99"/>
          <w:sz w:val="36"/>
          <w:lang w:val="fr-FR"/>
        </w:rPr>
        <w:t>livre</w:t>
      </w:r>
      <w:r w:rsidR="00B54E32">
        <w:rPr>
          <w:color w:val="548DD4" w:themeColor="text2" w:themeTint="99"/>
          <w:sz w:val="36"/>
          <w:lang w:val="fr-FR"/>
        </w:rPr>
        <w:t>s</w:t>
      </w:r>
      <w:r w:rsidR="00616D8A">
        <w:rPr>
          <w:color w:val="548DD4" w:themeColor="text2" w:themeTint="99"/>
          <w:sz w:val="36"/>
          <w:lang w:val="fr-FR"/>
        </w:rPr>
        <w:t xml:space="preserve"> de Comptabilité financière de B COLMANT PA MICHEL H TONDEUR</w:t>
      </w:r>
      <w:r w:rsidR="00B54E32">
        <w:rPr>
          <w:color w:val="548DD4" w:themeColor="text2" w:themeTint="99"/>
          <w:sz w:val="36"/>
          <w:lang w:val="fr-FR"/>
        </w:rPr>
        <w:t xml:space="preserve"> W DICK F MISSONIER-PIERA</w:t>
      </w:r>
    </w:p>
    <w:p w:rsidR="007C0CF9" w:rsidRDefault="00C1252A" w:rsidP="00C1252A">
      <w:pPr>
        <w:rPr>
          <w:b/>
          <w:sz w:val="24"/>
          <w:szCs w:val="24"/>
          <w:u w:val="single"/>
          <w:lang w:val="fr-FR"/>
        </w:rPr>
      </w:pPr>
      <w:r>
        <w:rPr>
          <w:b/>
          <w:sz w:val="24"/>
          <w:szCs w:val="24"/>
          <w:u w:val="single"/>
          <w:lang w:val="fr-FR"/>
        </w:rPr>
        <w:t>Concept :</w:t>
      </w:r>
    </w:p>
    <w:p w:rsidR="00616D8A" w:rsidRDefault="00D87C58" w:rsidP="00C1252A">
      <w:pPr>
        <w:rPr>
          <w:i/>
          <w:sz w:val="24"/>
          <w:szCs w:val="24"/>
          <w:lang w:val="fr-FR"/>
        </w:rPr>
      </w:pPr>
      <w:r>
        <w:rPr>
          <w:b/>
          <w:sz w:val="24"/>
          <w:szCs w:val="24"/>
          <w:lang w:val="fr-FR"/>
        </w:rPr>
        <w:t>« </w:t>
      </w:r>
      <w:r w:rsidR="004464DA" w:rsidRPr="004464DA">
        <w:rPr>
          <w:b/>
          <w:sz w:val="24"/>
          <w:szCs w:val="24"/>
          <w:lang w:val="fr-FR"/>
        </w:rPr>
        <w:t>L’IASB</w:t>
      </w:r>
      <w:r w:rsidR="004464DA">
        <w:rPr>
          <w:b/>
          <w:sz w:val="24"/>
          <w:szCs w:val="24"/>
          <w:lang w:val="fr-FR"/>
        </w:rPr>
        <w:t xml:space="preserve"> </w:t>
      </w:r>
      <w:r w:rsidR="004464DA">
        <w:rPr>
          <w:sz w:val="24"/>
          <w:szCs w:val="24"/>
          <w:lang w:val="fr-FR"/>
        </w:rPr>
        <w:t>est une institution privée, créée le 29 juin 1973 par des organisations professionnelles comptables de pays industrialisés, dont le siège est établi à Londres. Elle a pour vocation de contribuer au développement de normes comptables internationales et de favoriser leur application dans la présentation des états financiers. L’IASB regroupe une centaine d’organisations installées dans environ quatre-vingts pays. Elle a publié plus d’une quarantaine de normes, dénommées IAS ou IFRS (</w:t>
      </w:r>
      <w:r w:rsidR="004464DA">
        <w:rPr>
          <w:i/>
          <w:sz w:val="24"/>
          <w:szCs w:val="24"/>
          <w:lang w:val="fr-FR"/>
        </w:rPr>
        <w:t xml:space="preserve">International Accounting Standards </w:t>
      </w:r>
      <w:r w:rsidR="004464DA" w:rsidRPr="004464DA">
        <w:rPr>
          <w:sz w:val="24"/>
          <w:szCs w:val="24"/>
          <w:lang w:val="fr-FR"/>
        </w:rPr>
        <w:t>ou</w:t>
      </w:r>
      <w:r w:rsidR="004464DA">
        <w:rPr>
          <w:i/>
          <w:sz w:val="24"/>
          <w:szCs w:val="24"/>
          <w:lang w:val="fr-FR"/>
        </w:rPr>
        <w:t xml:space="preserve"> International Financial Reporting Standards)</w:t>
      </w:r>
      <w:r w:rsidR="004464DA">
        <w:rPr>
          <w:sz w:val="24"/>
          <w:szCs w:val="24"/>
          <w:lang w:val="fr-FR"/>
        </w:rPr>
        <w:t>, et une quinzaine d’interprétations (dénommées SIC ou IFRIC). Les IAS/IFRS sont fondées sur des principes conceptuels et les options laissées à l’initiative des professionnels ont été progressivement réduites car beaucoup de SIC ont été incorporées dans les normes, lorsque celles-ci ont été fondues.</w:t>
      </w:r>
      <w:r>
        <w:rPr>
          <w:sz w:val="24"/>
          <w:szCs w:val="24"/>
          <w:lang w:val="fr-FR"/>
        </w:rPr>
        <w:t> »</w:t>
      </w:r>
      <w:r w:rsidR="004464DA">
        <w:rPr>
          <w:i/>
          <w:sz w:val="24"/>
          <w:szCs w:val="24"/>
          <w:lang w:val="fr-FR"/>
        </w:rPr>
        <w:t xml:space="preserve"> </w:t>
      </w:r>
    </w:p>
    <w:p w:rsidR="00D87C58" w:rsidRDefault="00D87C58" w:rsidP="00C1252A">
      <w:pPr>
        <w:rPr>
          <w:sz w:val="24"/>
          <w:szCs w:val="24"/>
          <w:lang w:val="fr-FR"/>
        </w:rPr>
      </w:pPr>
      <w:r>
        <w:rPr>
          <w:sz w:val="24"/>
          <w:szCs w:val="24"/>
          <w:lang w:val="fr-FR"/>
        </w:rPr>
        <w:t>« L’Union européenne a décidé d’adopter les normes IAS/IFRS</w:t>
      </w:r>
      <w:r w:rsidR="00DD5FE1">
        <w:rPr>
          <w:sz w:val="24"/>
          <w:szCs w:val="24"/>
          <w:lang w:val="fr-FR"/>
        </w:rPr>
        <w:t xml:space="preserve"> </w:t>
      </w:r>
      <w:r>
        <w:rPr>
          <w:sz w:val="24"/>
          <w:szCs w:val="24"/>
          <w:lang w:val="fr-FR"/>
        </w:rPr>
        <w:t>pour</w:t>
      </w:r>
      <w:r w:rsidR="00DD5FE1">
        <w:rPr>
          <w:sz w:val="24"/>
          <w:szCs w:val="24"/>
          <w:lang w:val="fr-FR"/>
        </w:rPr>
        <w:t xml:space="preserve"> </w:t>
      </w:r>
      <w:r>
        <w:rPr>
          <w:sz w:val="24"/>
          <w:szCs w:val="24"/>
          <w:lang w:val="fr-FR"/>
        </w:rPr>
        <w:t>les comptes consolidés des entreprises</w:t>
      </w:r>
      <w:r w:rsidR="00DD5FE1">
        <w:rPr>
          <w:sz w:val="24"/>
          <w:szCs w:val="24"/>
          <w:lang w:val="fr-FR"/>
        </w:rPr>
        <w:t xml:space="preserve"> </w:t>
      </w:r>
      <w:r>
        <w:rPr>
          <w:sz w:val="24"/>
          <w:szCs w:val="24"/>
          <w:lang w:val="fr-FR"/>
        </w:rPr>
        <w:t>cotées européennes à partir de l’exercice 2005.</w:t>
      </w:r>
      <w:r w:rsidR="00DD5FE1">
        <w:rPr>
          <w:sz w:val="24"/>
          <w:szCs w:val="24"/>
          <w:lang w:val="fr-FR"/>
        </w:rPr>
        <w:t>Pour acquérir force légale dans l’union européenne, les IAS/IFRS sont soumises à un mécanisme d’adoption communautaire. Chacune des normes fait l’objet d’un avis consultatif émis par un comité composé de professionnels, l’EFRAG (</w:t>
      </w:r>
      <w:r w:rsidR="00DD5FE1">
        <w:rPr>
          <w:i/>
          <w:sz w:val="24"/>
          <w:szCs w:val="24"/>
          <w:lang w:val="fr-FR"/>
        </w:rPr>
        <w:t>European Financial Reporting Advisory Group)</w:t>
      </w:r>
      <w:r w:rsidR="00DD5FE1">
        <w:rPr>
          <w:sz w:val="24"/>
          <w:szCs w:val="24"/>
          <w:lang w:val="fr-FR"/>
        </w:rPr>
        <w:t>, placé auprès de la Commission. De plus, à la lumière de l’avis de l’EFRAG, la décision est prise par un comité de représentants des Etats membres, l’ARC (</w:t>
      </w:r>
      <w:r w:rsidR="00DD5FE1" w:rsidRPr="00DD5FE1">
        <w:rPr>
          <w:i/>
          <w:sz w:val="24"/>
          <w:szCs w:val="24"/>
          <w:lang w:val="fr-FR"/>
        </w:rPr>
        <w:t>Accounting Regulatory Commitee</w:t>
      </w:r>
      <w:proofErr w:type="gramStart"/>
      <w:r w:rsidR="00DD5FE1">
        <w:rPr>
          <w:sz w:val="24"/>
          <w:szCs w:val="24"/>
          <w:lang w:val="fr-FR"/>
        </w:rPr>
        <w:t>) ,</w:t>
      </w:r>
      <w:proofErr w:type="gramEnd"/>
      <w:r w:rsidR="00DD5FE1">
        <w:rPr>
          <w:sz w:val="24"/>
          <w:szCs w:val="24"/>
          <w:lang w:val="fr-FR"/>
        </w:rPr>
        <w:t xml:space="preserve"> qui vote à la majorité qualifiée. Un règlement communautaire du 19 juillet 2002 évoque trois critères d’appréciation :</w:t>
      </w:r>
    </w:p>
    <w:p w:rsidR="00DD5FE1" w:rsidRPr="00DD5FE1" w:rsidRDefault="00DD5FE1" w:rsidP="00DD5FE1">
      <w:pPr>
        <w:pStyle w:val="Paragraphedeliste"/>
        <w:numPr>
          <w:ilvl w:val="0"/>
          <w:numId w:val="46"/>
        </w:numPr>
        <w:rPr>
          <w:sz w:val="24"/>
          <w:szCs w:val="24"/>
          <w:lang w:val="fr-FR"/>
        </w:rPr>
      </w:pPr>
      <w:r w:rsidRPr="00DD5FE1">
        <w:rPr>
          <w:sz w:val="24"/>
          <w:szCs w:val="24"/>
          <w:lang w:val="fr-FR"/>
        </w:rPr>
        <w:t>La conformité aux t</w:t>
      </w:r>
      <w:r>
        <w:rPr>
          <w:sz w:val="24"/>
          <w:szCs w:val="24"/>
          <w:lang w:val="fr-FR"/>
        </w:rPr>
        <w:t>extes législatifs europée</w:t>
      </w:r>
      <w:r w:rsidRPr="00DD5FE1">
        <w:rPr>
          <w:sz w:val="24"/>
          <w:szCs w:val="24"/>
          <w:lang w:val="fr-FR"/>
        </w:rPr>
        <w:t>ns existants</w:t>
      </w:r>
    </w:p>
    <w:p w:rsidR="00DD5FE1" w:rsidRPr="00DD5FE1" w:rsidRDefault="00DD5FE1" w:rsidP="00DD5FE1">
      <w:pPr>
        <w:pStyle w:val="Paragraphedeliste"/>
        <w:numPr>
          <w:ilvl w:val="0"/>
          <w:numId w:val="46"/>
        </w:numPr>
        <w:rPr>
          <w:sz w:val="24"/>
          <w:szCs w:val="24"/>
          <w:lang w:val="fr-FR"/>
        </w:rPr>
      </w:pPr>
      <w:r w:rsidRPr="00DD5FE1">
        <w:rPr>
          <w:sz w:val="24"/>
          <w:szCs w:val="24"/>
          <w:lang w:val="fr-FR"/>
        </w:rPr>
        <w:t>La capacité à donner lieu à une information financière de</w:t>
      </w:r>
      <w:r>
        <w:rPr>
          <w:sz w:val="24"/>
          <w:szCs w:val="24"/>
          <w:lang w:val="fr-FR"/>
        </w:rPr>
        <w:t xml:space="preserve"> </w:t>
      </w:r>
      <w:r w:rsidRPr="00DD5FE1">
        <w:rPr>
          <w:sz w:val="24"/>
          <w:szCs w:val="24"/>
          <w:lang w:val="fr-FR"/>
        </w:rPr>
        <w:t>haute qualité,</w:t>
      </w:r>
    </w:p>
    <w:p w:rsidR="00DD5FE1" w:rsidRDefault="00DD5FE1" w:rsidP="00DD5FE1">
      <w:pPr>
        <w:pStyle w:val="Paragraphedeliste"/>
        <w:numPr>
          <w:ilvl w:val="0"/>
          <w:numId w:val="46"/>
        </w:numPr>
        <w:rPr>
          <w:sz w:val="24"/>
          <w:szCs w:val="24"/>
          <w:lang w:val="fr-FR"/>
        </w:rPr>
      </w:pPr>
      <w:r w:rsidRPr="00DD5FE1">
        <w:rPr>
          <w:sz w:val="24"/>
          <w:szCs w:val="24"/>
          <w:lang w:val="fr-FR"/>
        </w:rPr>
        <w:t>La contribution au bien public européen.</w:t>
      </w:r>
      <w:r w:rsidR="00700904">
        <w:rPr>
          <w:sz w:val="24"/>
          <w:szCs w:val="24"/>
          <w:lang w:val="fr-FR"/>
        </w:rPr>
        <w:t> </w:t>
      </w:r>
    </w:p>
    <w:p w:rsidR="00700904" w:rsidRDefault="00700904" w:rsidP="00700904">
      <w:pPr>
        <w:rPr>
          <w:sz w:val="24"/>
          <w:szCs w:val="24"/>
          <w:lang w:val="fr-FR"/>
        </w:rPr>
      </w:pPr>
      <w:r>
        <w:rPr>
          <w:sz w:val="24"/>
          <w:szCs w:val="24"/>
          <w:lang w:val="fr-FR"/>
        </w:rPr>
        <w:t>Depuis l’année 2005, les normes comptables internationales ont conquis les places financières : tout d’abord la place européenne, et peu à peu les places financières des pays asiatiques et celles des pays européens de l’Est. A cet égard, les normalisateurs</w:t>
      </w:r>
      <w:r w:rsidR="00687E85">
        <w:rPr>
          <w:sz w:val="24"/>
          <w:szCs w:val="24"/>
          <w:lang w:val="fr-FR"/>
        </w:rPr>
        <w:t xml:space="preserve"> </w:t>
      </w:r>
      <w:r>
        <w:rPr>
          <w:sz w:val="24"/>
          <w:szCs w:val="24"/>
          <w:lang w:val="fr-FR"/>
        </w:rPr>
        <w:t>américains ne s’y sont pas trompés en engageant une démarche de travail avec l’IASB  avec les US GAAP.</w:t>
      </w:r>
    </w:p>
    <w:p w:rsidR="00687E85" w:rsidRDefault="00D865A1" w:rsidP="00700904">
      <w:pPr>
        <w:rPr>
          <w:sz w:val="24"/>
          <w:szCs w:val="24"/>
          <w:lang w:val="fr-FR"/>
        </w:rPr>
      </w:pPr>
      <w:r>
        <w:rPr>
          <w:sz w:val="24"/>
          <w:szCs w:val="24"/>
          <w:lang w:val="fr-FR"/>
        </w:rPr>
        <w:t xml:space="preserve">D’abord limitée aux comptes consolidés des sociétés cotées, cette contagion se répand à l’ensemble des états financiers. Il s’agit d’une véritable évolution de la pratique de la </w:t>
      </w:r>
      <w:r>
        <w:rPr>
          <w:sz w:val="24"/>
          <w:szCs w:val="24"/>
          <w:lang w:val="fr-FR"/>
        </w:rPr>
        <w:lastRenderedPageBreak/>
        <w:t xml:space="preserve">comptabilité, tant dans ses dimensions techniques que dans ses dimensions informatives, et ce pour des pays qui avaient historiquement développé des </w:t>
      </w:r>
      <w:r w:rsidR="00200272">
        <w:rPr>
          <w:sz w:val="24"/>
          <w:szCs w:val="24"/>
          <w:lang w:val="fr-FR"/>
        </w:rPr>
        <w:t>comptabilités</w:t>
      </w:r>
      <w:r>
        <w:rPr>
          <w:sz w:val="24"/>
          <w:szCs w:val="24"/>
          <w:lang w:val="fr-FR"/>
        </w:rPr>
        <w:t xml:space="preserve"> plus fiscales que financières.</w:t>
      </w:r>
      <w:r w:rsidR="00200272">
        <w:rPr>
          <w:sz w:val="24"/>
          <w:szCs w:val="24"/>
          <w:lang w:val="fr-FR"/>
        </w:rPr>
        <w:t> »</w:t>
      </w:r>
    </w:p>
    <w:p w:rsidR="00200272" w:rsidRDefault="00200272" w:rsidP="00700904">
      <w:pPr>
        <w:rPr>
          <w:sz w:val="24"/>
          <w:szCs w:val="24"/>
          <w:lang w:val="fr-FR"/>
        </w:rPr>
      </w:pPr>
      <w:r>
        <w:rPr>
          <w:sz w:val="24"/>
          <w:szCs w:val="24"/>
          <w:lang w:val="fr-FR"/>
        </w:rPr>
        <w:t>« Afin de répondre aux besoins des actionnaires et des investisseurs en matière d’informations comptables et financières, l’IASB présente ses trois objectifs de normalisation, dans sa préface aux IFRS :</w:t>
      </w:r>
    </w:p>
    <w:p w:rsidR="00200272" w:rsidRDefault="00200272" w:rsidP="00200272">
      <w:pPr>
        <w:pStyle w:val="Paragraphedeliste"/>
        <w:numPr>
          <w:ilvl w:val="0"/>
          <w:numId w:val="47"/>
        </w:numPr>
        <w:rPr>
          <w:sz w:val="24"/>
          <w:szCs w:val="24"/>
          <w:lang w:val="fr-FR"/>
        </w:rPr>
      </w:pPr>
      <w:r>
        <w:rPr>
          <w:sz w:val="24"/>
          <w:szCs w:val="24"/>
          <w:lang w:val="fr-FR"/>
        </w:rPr>
        <w:t>Développer, dans l’intérêt public, un ensemble unique de normes globales de haute qualité, compréhensibles et applicables, qui doit offrir une information de haute qualité, transparente et comparable en ce qui concerne les états financiers et les autres données comptables. Cela aide ainsi les utilisateurs de l’information, notamment les acteurs des marchés des capitaux mondiaux, à prendre des décisions économiques.</w:t>
      </w:r>
    </w:p>
    <w:p w:rsidR="00200272" w:rsidRDefault="00200272" w:rsidP="00200272">
      <w:pPr>
        <w:pStyle w:val="Paragraphedeliste"/>
        <w:numPr>
          <w:ilvl w:val="0"/>
          <w:numId w:val="47"/>
        </w:numPr>
        <w:rPr>
          <w:sz w:val="24"/>
          <w:szCs w:val="24"/>
          <w:lang w:val="fr-FR"/>
        </w:rPr>
      </w:pPr>
      <w:r>
        <w:rPr>
          <w:sz w:val="24"/>
          <w:szCs w:val="24"/>
          <w:lang w:val="fr-FR"/>
        </w:rPr>
        <w:t>Promouvoir une utilisation et une application rigoureuse de ces normes.</w:t>
      </w:r>
    </w:p>
    <w:p w:rsidR="00200272" w:rsidRDefault="00200272" w:rsidP="00200272">
      <w:pPr>
        <w:pStyle w:val="Paragraphedeliste"/>
        <w:numPr>
          <w:ilvl w:val="0"/>
          <w:numId w:val="47"/>
        </w:numPr>
        <w:rPr>
          <w:sz w:val="24"/>
          <w:szCs w:val="24"/>
          <w:lang w:val="fr-FR"/>
        </w:rPr>
      </w:pPr>
      <w:r>
        <w:rPr>
          <w:sz w:val="24"/>
          <w:szCs w:val="24"/>
          <w:lang w:val="fr-FR"/>
        </w:rPr>
        <w:t>Travailler activement avec les normalisateurs des différents pays pour susciter une convergence des normes comptables des différents pays avec les IFRS afin d’obtenir des solutions de haute qualité. »</w:t>
      </w:r>
    </w:p>
    <w:p w:rsidR="00200272" w:rsidRPr="00200272" w:rsidRDefault="00200272" w:rsidP="00200272">
      <w:pPr>
        <w:rPr>
          <w:sz w:val="24"/>
          <w:szCs w:val="24"/>
          <w:lang w:val="fr-FR"/>
        </w:rPr>
      </w:pPr>
    </w:p>
    <w:p w:rsidR="00200272" w:rsidRDefault="00200272" w:rsidP="00700904">
      <w:pPr>
        <w:rPr>
          <w:sz w:val="24"/>
          <w:szCs w:val="24"/>
          <w:lang w:val="fr-FR"/>
        </w:rPr>
      </w:pPr>
    </w:p>
    <w:p w:rsidR="00687E85" w:rsidRPr="00700904" w:rsidRDefault="00687E85" w:rsidP="00700904">
      <w:pPr>
        <w:rPr>
          <w:sz w:val="24"/>
          <w:szCs w:val="24"/>
          <w:lang w:val="fr-FR"/>
        </w:rPr>
      </w:pPr>
    </w:p>
    <w:p w:rsidR="00DD5FE1" w:rsidRPr="00DD5FE1" w:rsidRDefault="00DD5FE1" w:rsidP="00C1252A">
      <w:pPr>
        <w:rPr>
          <w:sz w:val="24"/>
          <w:szCs w:val="24"/>
          <w:lang w:val="fr-FR"/>
        </w:rPr>
      </w:pPr>
    </w:p>
    <w:p w:rsidR="00D87C58" w:rsidRPr="00D87C58" w:rsidRDefault="00D87C58" w:rsidP="00C1252A">
      <w:pPr>
        <w:rPr>
          <w:sz w:val="24"/>
          <w:szCs w:val="24"/>
          <w:lang w:val="fr-FR"/>
        </w:rPr>
      </w:pPr>
    </w:p>
    <w:sectPr w:rsidR="00D87C58" w:rsidRPr="00D87C58"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04383"/>
    <w:multiLevelType w:val="hybridMultilevel"/>
    <w:tmpl w:val="9282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FA505D"/>
    <w:multiLevelType w:val="hybridMultilevel"/>
    <w:tmpl w:val="8E30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3">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6C273B0"/>
    <w:multiLevelType w:val="hybridMultilevel"/>
    <w:tmpl w:val="E80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9">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461D8C"/>
    <w:multiLevelType w:val="hybridMultilevel"/>
    <w:tmpl w:val="515C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4">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299235D"/>
    <w:multiLevelType w:val="hybridMultilevel"/>
    <w:tmpl w:val="CA52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8">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30">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32">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4">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3">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A6F3A32"/>
    <w:multiLevelType w:val="hybridMultilevel"/>
    <w:tmpl w:val="8FE8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6C559C"/>
    <w:multiLevelType w:val="hybridMultilevel"/>
    <w:tmpl w:val="2D30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6"/>
  </w:num>
  <w:num w:numId="2">
    <w:abstractNumId w:val="13"/>
  </w:num>
  <w:num w:numId="3">
    <w:abstractNumId w:val="46"/>
  </w:num>
  <w:num w:numId="4">
    <w:abstractNumId w:val="40"/>
  </w:num>
  <w:num w:numId="5">
    <w:abstractNumId w:val="5"/>
  </w:num>
  <w:num w:numId="6">
    <w:abstractNumId w:val="38"/>
  </w:num>
  <w:num w:numId="7">
    <w:abstractNumId w:val="31"/>
  </w:num>
  <w:num w:numId="8">
    <w:abstractNumId w:val="33"/>
  </w:num>
  <w:num w:numId="9">
    <w:abstractNumId w:val="12"/>
  </w:num>
  <w:num w:numId="10">
    <w:abstractNumId w:val="29"/>
  </w:num>
  <w:num w:numId="11">
    <w:abstractNumId w:val="2"/>
  </w:num>
  <w:num w:numId="12">
    <w:abstractNumId w:val="23"/>
  </w:num>
  <w:num w:numId="13">
    <w:abstractNumId w:val="0"/>
  </w:num>
  <w:num w:numId="14">
    <w:abstractNumId w:val="16"/>
  </w:num>
  <w:num w:numId="15">
    <w:abstractNumId w:val="24"/>
  </w:num>
  <w:num w:numId="16">
    <w:abstractNumId w:val="34"/>
  </w:num>
  <w:num w:numId="17">
    <w:abstractNumId w:val="15"/>
  </w:num>
  <w:num w:numId="18">
    <w:abstractNumId w:val="3"/>
  </w:num>
  <w:num w:numId="19">
    <w:abstractNumId w:val="27"/>
  </w:num>
  <w:num w:numId="20">
    <w:abstractNumId w:val="18"/>
  </w:num>
  <w:num w:numId="21">
    <w:abstractNumId w:val="30"/>
  </w:num>
  <w:num w:numId="22">
    <w:abstractNumId w:val="10"/>
  </w:num>
  <w:num w:numId="23">
    <w:abstractNumId w:val="28"/>
  </w:num>
  <w:num w:numId="24">
    <w:abstractNumId w:val="19"/>
  </w:num>
  <w:num w:numId="25">
    <w:abstractNumId w:val="11"/>
  </w:num>
  <w:num w:numId="26">
    <w:abstractNumId w:val="36"/>
  </w:num>
  <w:num w:numId="27">
    <w:abstractNumId w:val="6"/>
  </w:num>
  <w:num w:numId="28">
    <w:abstractNumId w:val="8"/>
  </w:num>
  <w:num w:numId="29">
    <w:abstractNumId w:val="14"/>
  </w:num>
  <w:num w:numId="30">
    <w:abstractNumId w:val="39"/>
  </w:num>
  <w:num w:numId="31">
    <w:abstractNumId w:val="21"/>
  </w:num>
  <w:num w:numId="32">
    <w:abstractNumId w:val="41"/>
  </w:num>
  <w:num w:numId="33">
    <w:abstractNumId w:val="42"/>
  </w:num>
  <w:num w:numId="34">
    <w:abstractNumId w:val="37"/>
  </w:num>
  <w:num w:numId="35">
    <w:abstractNumId w:val="35"/>
  </w:num>
  <w:num w:numId="36">
    <w:abstractNumId w:val="7"/>
  </w:num>
  <w:num w:numId="37">
    <w:abstractNumId w:val="20"/>
  </w:num>
  <w:num w:numId="38">
    <w:abstractNumId w:val="43"/>
  </w:num>
  <w:num w:numId="39">
    <w:abstractNumId w:val="4"/>
  </w:num>
  <w:num w:numId="40">
    <w:abstractNumId w:val="32"/>
  </w:num>
  <w:num w:numId="41">
    <w:abstractNumId w:val="25"/>
  </w:num>
  <w:num w:numId="42">
    <w:abstractNumId w:val="9"/>
  </w:num>
  <w:num w:numId="43">
    <w:abstractNumId w:val="1"/>
  </w:num>
  <w:num w:numId="44">
    <w:abstractNumId w:val="17"/>
  </w:num>
  <w:num w:numId="45">
    <w:abstractNumId w:val="22"/>
  </w:num>
  <w:num w:numId="46">
    <w:abstractNumId w:val="44"/>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124EF"/>
    <w:rsid w:val="00050A8D"/>
    <w:rsid w:val="00050E45"/>
    <w:rsid w:val="00052471"/>
    <w:rsid w:val="000648CB"/>
    <w:rsid w:val="00081C62"/>
    <w:rsid w:val="000944F0"/>
    <w:rsid w:val="00096E96"/>
    <w:rsid w:val="000A5614"/>
    <w:rsid w:val="000B1FA6"/>
    <w:rsid w:val="000E768D"/>
    <w:rsid w:val="000F5C4D"/>
    <w:rsid w:val="00124A65"/>
    <w:rsid w:val="001341C2"/>
    <w:rsid w:val="00143C18"/>
    <w:rsid w:val="00152374"/>
    <w:rsid w:val="001969AF"/>
    <w:rsid w:val="00200272"/>
    <w:rsid w:val="0020373E"/>
    <w:rsid w:val="00205E2D"/>
    <w:rsid w:val="002060E8"/>
    <w:rsid w:val="00216CCF"/>
    <w:rsid w:val="00286996"/>
    <w:rsid w:val="00295908"/>
    <w:rsid w:val="002E03C3"/>
    <w:rsid w:val="002E6172"/>
    <w:rsid w:val="00352590"/>
    <w:rsid w:val="00354293"/>
    <w:rsid w:val="00361D73"/>
    <w:rsid w:val="00365889"/>
    <w:rsid w:val="00366226"/>
    <w:rsid w:val="00373228"/>
    <w:rsid w:val="00396772"/>
    <w:rsid w:val="003A603F"/>
    <w:rsid w:val="003C42F2"/>
    <w:rsid w:val="003D1A55"/>
    <w:rsid w:val="003D5FBC"/>
    <w:rsid w:val="003E5649"/>
    <w:rsid w:val="00400BF8"/>
    <w:rsid w:val="00414E96"/>
    <w:rsid w:val="00440A23"/>
    <w:rsid w:val="00446422"/>
    <w:rsid w:val="004464DA"/>
    <w:rsid w:val="00450133"/>
    <w:rsid w:val="00450D77"/>
    <w:rsid w:val="004541C6"/>
    <w:rsid w:val="004626D9"/>
    <w:rsid w:val="00464CEC"/>
    <w:rsid w:val="00467BA2"/>
    <w:rsid w:val="00472049"/>
    <w:rsid w:val="004755E4"/>
    <w:rsid w:val="00487381"/>
    <w:rsid w:val="004B3B06"/>
    <w:rsid w:val="004E4C1D"/>
    <w:rsid w:val="00505F94"/>
    <w:rsid w:val="00516549"/>
    <w:rsid w:val="0054530B"/>
    <w:rsid w:val="005704C7"/>
    <w:rsid w:val="00573B84"/>
    <w:rsid w:val="00587ED8"/>
    <w:rsid w:val="00596577"/>
    <w:rsid w:val="005B67F1"/>
    <w:rsid w:val="005E2C80"/>
    <w:rsid w:val="005E567D"/>
    <w:rsid w:val="005E58EA"/>
    <w:rsid w:val="005E6CEA"/>
    <w:rsid w:val="00616D8A"/>
    <w:rsid w:val="00643BDA"/>
    <w:rsid w:val="00682598"/>
    <w:rsid w:val="00687E85"/>
    <w:rsid w:val="00687EF9"/>
    <w:rsid w:val="006C47BC"/>
    <w:rsid w:val="006F25A9"/>
    <w:rsid w:val="006F644F"/>
    <w:rsid w:val="00700904"/>
    <w:rsid w:val="0071201D"/>
    <w:rsid w:val="007369D6"/>
    <w:rsid w:val="007514BE"/>
    <w:rsid w:val="007515A2"/>
    <w:rsid w:val="00785713"/>
    <w:rsid w:val="00785FEF"/>
    <w:rsid w:val="007A15E4"/>
    <w:rsid w:val="007B3A7D"/>
    <w:rsid w:val="007C0CF9"/>
    <w:rsid w:val="00806E20"/>
    <w:rsid w:val="00884323"/>
    <w:rsid w:val="008D5007"/>
    <w:rsid w:val="009240F9"/>
    <w:rsid w:val="00966169"/>
    <w:rsid w:val="00973C84"/>
    <w:rsid w:val="0098091C"/>
    <w:rsid w:val="009E4014"/>
    <w:rsid w:val="00A057E6"/>
    <w:rsid w:val="00A45800"/>
    <w:rsid w:val="00A763D6"/>
    <w:rsid w:val="00A937B3"/>
    <w:rsid w:val="00A97328"/>
    <w:rsid w:val="00AA031B"/>
    <w:rsid w:val="00AD77CD"/>
    <w:rsid w:val="00AF1C36"/>
    <w:rsid w:val="00B05C16"/>
    <w:rsid w:val="00B068B3"/>
    <w:rsid w:val="00B07216"/>
    <w:rsid w:val="00B11BD7"/>
    <w:rsid w:val="00B213CC"/>
    <w:rsid w:val="00B302D6"/>
    <w:rsid w:val="00B42631"/>
    <w:rsid w:val="00B4474D"/>
    <w:rsid w:val="00B54E32"/>
    <w:rsid w:val="00B60AAB"/>
    <w:rsid w:val="00B75F11"/>
    <w:rsid w:val="00BC07D8"/>
    <w:rsid w:val="00BC2AFF"/>
    <w:rsid w:val="00BE2BA9"/>
    <w:rsid w:val="00C031D4"/>
    <w:rsid w:val="00C07D7B"/>
    <w:rsid w:val="00C1252A"/>
    <w:rsid w:val="00C12C26"/>
    <w:rsid w:val="00C40200"/>
    <w:rsid w:val="00C6198D"/>
    <w:rsid w:val="00CA599E"/>
    <w:rsid w:val="00CA7CF0"/>
    <w:rsid w:val="00CC4667"/>
    <w:rsid w:val="00CD2853"/>
    <w:rsid w:val="00D020CB"/>
    <w:rsid w:val="00D2502B"/>
    <w:rsid w:val="00D2705A"/>
    <w:rsid w:val="00D43824"/>
    <w:rsid w:val="00D80D61"/>
    <w:rsid w:val="00D865A1"/>
    <w:rsid w:val="00D87C58"/>
    <w:rsid w:val="00D9513A"/>
    <w:rsid w:val="00DA7D4C"/>
    <w:rsid w:val="00DD5FE1"/>
    <w:rsid w:val="00E32677"/>
    <w:rsid w:val="00E365ED"/>
    <w:rsid w:val="00E76B98"/>
    <w:rsid w:val="00E82704"/>
    <w:rsid w:val="00E90A6D"/>
    <w:rsid w:val="00EE1A5D"/>
    <w:rsid w:val="00EF7132"/>
    <w:rsid w:val="00F01333"/>
    <w:rsid w:val="00F66C15"/>
    <w:rsid w:val="00FB1AAB"/>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26A6-9AEE-4803-87FF-22616237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531</Words>
  <Characters>3029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8</cp:revision>
  <cp:lastPrinted>2009-07-20T15:39:00Z</cp:lastPrinted>
  <dcterms:created xsi:type="dcterms:W3CDTF">2009-08-13T08:42:00Z</dcterms:created>
  <dcterms:modified xsi:type="dcterms:W3CDTF">2009-08-13T09:28:00Z</dcterms:modified>
</cp:coreProperties>
</file>