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5B0" w:rsidRDefault="007635B0" w:rsidP="00FC57C1">
      <w:pPr>
        <w:pBdr>
          <w:bottom w:val="single" w:sz="12" w:space="1" w:color="auto"/>
        </w:pBdr>
        <w:jc w:val="center"/>
        <w:rPr>
          <w:color w:val="548DD4" w:themeColor="text2" w:themeTint="99"/>
          <w:sz w:val="52"/>
          <w:lang w:val="fr-FR"/>
        </w:rPr>
      </w:pPr>
    </w:p>
    <w:p w:rsidR="00450133" w:rsidRPr="00FC57C1" w:rsidRDefault="009240F9" w:rsidP="00FC57C1">
      <w:pPr>
        <w:pBdr>
          <w:bottom w:val="single" w:sz="12" w:space="1" w:color="auto"/>
        </w:pBdr>
        <w:jc w:val="center"/>
        <w:rPr>
          <w:color w:val="548DD4" w:themeColor="text2" w:themeTint="99"/>
          <w:sz w:val="52"/>
          <w:lang w:val="fr-FR"/>
        </w:rPr>
      </w:pPr>
      <w:r>
        <w:rPr>
          <w:color w:val="548DD4" w:themeColor="text2" w:themeTint="99"/>
          <w:sz w:val="52"/>
          <w:lang w:val="fr-FR"/>
        </w:rPr>
        <w:t>FICHE 7</w:t>
      </w:r>
      <w:r w:rsidR="005E58EA">
        <w:rPr>
          <w:color w:val="548DD4" w:themeColor="text2" w:themeTint="99"/>
          <w:sz w:val="52"/>
          <w:lang w:val="fr-FR"/>
        </w:rPr>
        <w:t>: Les</w:t>
      </w:r>
      <w:r w:rsidR="00FC57C1" w:rsidRPr="00FC57C1">
        <w:rPr>
          <w:color w:val="548DD4" w:themeColor="text2" w:themeTint="99"/>
          <w:sz w:val="52"/>
          <w:lang w:val="fr-FR"/>
        </w:rPr>
        <w:t xml:space="preserve"> </w:t>
      </w:r>
      <w:r w:rsidR="005E58EA">
        <w:rPr>
          <w:color w:val="548DD4" w:themeColor="text2" w:themeTint="99"/>
          <w:sz w:val="52"/>
          <w:lang w:val="fr-FR"/>
        </w:rPr>
        <w:t>A</w:t>
      </w:r>
      <w:r w:rsidR="007B3A7D">
        <w:rPr>
          <w:color w:val="548DD4" w:themeColor="text2" w:themeTint="99"/>
          <w:sz w:val="52"/>
          <w:lang w:val="fr-FR"/>
        </w:rPr>
        <w:t>mortissements</w:t>
      </w:r>
    </w:p>
    <w:p w:rsidR="00FC57C1" w:rsidRDefault="00FC57C1">
      <w:pPr>
        <w:rPr>
          <w:b/>
          <w:sz w:val="24"/>
          <w:u w:val="single"/>
          <w:lang w:val="fr-FR"/>
        </w:rPr>
      </w:pPr>
      <w:r w:rsidRPr="002060E8">
        <w:rPr>
          <w:b/>
          <w:sz w:val="24"/>
          <w:u w:val="single"/>
          <w:lang w:val="fr-FR"/>
        </w:rPr>
        <w:t xml:space="preserve">Concept : </w:t>
      </w:r>
    </w:p>
    <w:p w:rsidR="00EE5B93" w:rsidRDefault="00EE5B93">
      <w:pPr>
        <w:rPr>
          <w:sz w:val="24"/>
          <w:lang w:val="fr-FR"/>
        </w:rPr>
      </w:pPr>
      <w:r>
        <w:rPr>
          <w:sz w:val="24"/>
          <w:lang w:val="fr-FR"/>
        </w:rPr>
        <w:t>L’entreprise doit, dans le respect de la règle de prudence, constater à chaque inventaire, l’amortissement annuel de chaque immobilisation amortissable afin de présenter une image fidèle de son patrimoine.</w:t>
      </w:r>
    </w:p>
    <w:p w:rsidR="00EE5B93" w:rsidRDefault="00EE5B93">
      <w:pPr>
        <w:rPr>
          <w:sz w:val="24"/>
          <w:lang w:val="fr-FR"/>
        </w:rPr>
      </w:pPr>
      <w:r>
        <w:rPr>
          <w:sz w:val="24"/>
          <w:lang w:val="fr-FR"/>
        </w:rPr>
        <w:t>L’article 322-1 du Plan comptable général stipule :</w:t>
      </w:r>
    </w:p>
    <w:p w:rsidR="00EE5B93" w:rsidRDefault="00EE5B93" w:rsidP="00EE5B93">
      <w:pPr>
        <w:pStyle w:val="Paragraphedeliste"/>
        <w:numPr>
          <w:ilvl w:val="0"/>
          <w:numId w:val="11"/>
        </w:numPr>
        <w:rPr>
          <w:sz w:val="24"/>
          <w:lang w:val="fr-FR"/>
        </w:rPr>
      </w:pPr>
      <w:r>
        <w:rPr>
          <w:sz w:val="24"/>
          <w:lang w:val="fr-FR"/>
        </w:rPr>
        <w:t>un article amortissable est un article dont l’utilisation est déterminable</w:t>
      </w:r>
    </w:p>
    <w:p w:rsidR="00EE5B93" w:rsidRPr="00EE5B93" w:rsidRDefault="00EE5B93" w:rsidP="00EE5B93">
      <w:pPr>
        <w:pStyle w:val="Paragraphedeliste"/>
        <w:numPr>
          <w:ilvl w:val="0"/>
          <w:numId w:val="11"/>
        </w:numPr>
        <w:rPr>
          <w:sz w:val="24"/>
          <w:lang w:val="fr-FR"/>
        </w:rPr>
      </w:pPr>
      <w:r>
        <w:rPr>
          <w:sz w:val="24"/>
          <w:lang w:val="fr-FR"/>
        </w:rPr>
        <w:t>l’amortissement d’un actif est la répartition systématique de son montant amortissable en fonction de son utilisation.</w:t>
      </w:r>
    </w:p>
    <w:p w:rsidR="00EE5B93" w:rsidRDefault="00EE5B93" w:rsidP="007B3A7D">
      <w:pPr>
        <w:ind w:left="720"/>
        <w:rPr>
          <w:b/>
          <w:bCs/>
          <w:lang w:val="fr-FR"/>
        </w:rPr>
      </w:pPr>
    </w:p>
    <w:p w:rsidR="007B3A7D" w:rsidRPr="007B3A7D" w:rsidRDefault="005E567D" w:rsidP="007B3A7D">
      <w:pPr>
        <w:ind w:left="720"/>
        <w:rPr>
          <w:b/>
          <w:lang w:val="fr-FR"/>
        </w:rPr>
      </w:pPr>
      <w:r>
        <w:rPr>
          <w:b/>
          <w:bCs/>
          <w:lang w:val="fr-FR"/>
        </w:rPr>
        <w:t xml:space="preserve"> Les amortissements sont comptabilisés mê</w:t>
      </w:r>
      <w:r w:rsidR="00A37130">
        <w:rPr>
          <w:b/>
          <w:bCs/>
          <w:lang w:val="fr-FR"/>
        </w:rPr>
        <w:t>me si l’entreprise est en perte, et de façon définitive.</w:t>
      </w:r>
    </w:p>
    <w:p w:rsidR="00EE5B93" w:rsidRPr="00EE5B93" w:rsidRDefault="007B3A7D" w:rsidP="00EE5B93">
      <w:pPr>
        <w:rPr>
          <w:b/>
          <w:bCs/>
          <w:u w:val="single"/>
          <w:lang w:val="fr-FR"/>
        </w:rPr>
      </w:pPr>
      <w:r w:rsidRPr="008D5007">
        <w:rPr>
          <w:b/>
          <w:bCs/>
          <w:sz w:val="24"/>
          <w:szCs w:val="24"/>
          <w:u w:val="single"/>
          <w:lang w:val="fr-FR"/>
        </w:rPr>
        <w:t>Terminologie</w:t>
      </w:r>
      <w:r w:rsidR="00687EF9" w:rsidRPr="007B3A7D">
        <w:rPr>
          <w:b/>
          <w:bCs/>
          <w:u w:val="single"/>
          <w:lang w:val="fr-FR"/>
        </w:rPr>
        <w:t xml:space="preserve"> :</w:t>
      </w:r>
    </w:p>
    <w:p w:rsidR="00EE5B93" w:rsidRPr="00CA6BEC" w:rsidRDefault="00EE5B93" w:rsidP="00CA6BEC">
      <w:pPr>
        <w:pStyle w:val="Paragraphedeliste"/>
        <w:numPr>
          <w:ilvl w:val="0"/>
          <w:numId w:val="20"/>
        </w:numPr>
        <w:rPr>
          <w:bCs/>
          <w:lang w:val="fr-FR"/>
        </w:rPr>
      </w:pPr>
      <w:r w:rsidRPr="00171CB9">
        <w:rPr>
          <w:b/>
          <w:bCs/>
          <w:i/>
          <w:lang w:val="fr-FR"/>
        </w:rPr>
        <w:t>L’utilisation déterminable</w:t>
      </w:r>
      <w:r w:rsidRPr="00CA6BEC">
        <w:rPr>
          <w:bCs/>
          <w:i/>
          <w:lang w:val="fr-FR"/>
        </w:rPr>
        <w:t> :</w:t>
      </w:r>
      <w:r w:rsidRPr="00CA6BEC">
        <w:rPr>
          <w:bCs/>
          <w:lang w:val="fr-FR"/>
        </w:rPr>
        <w:t xml:space="preserve"> signifie que l’utilisation de l’immobilisation est </w:t>
      </w:r>
      <w:r w:rsidR="00171CB9" w:rsidRPr="00CA6BEC">
        <w:rPr>
          <w:bCs/>
          <w:lang w:val="fr-FR"/>
        </w:rPr>
        <w:t>limitée</w:t>
      </w:r>
      <w:r w:rsidRPr="00CA6BEC">
        <w:rPr>
          <w:bCs/>
          <w:lang w:val="fr-FR"/>
        </w:rPr>
        <w:t xml:space="preserve"> dans le</w:t>
      </w:r>
      <w:r w:rsidR="00CA6BEC" w:rsidRPr="00CA6BEC">
        <w:rPr>
          <w:bCs/>
          <w:lang w:val="fr-FR"/>
        </w:rPr>
        <w:t xml:space="preserve"> </w:t>
      </w:r>
      <w:r w:rsidRPr="00CA6BEC">
        <w:rPr>
          <w:bCs/>
          <w:lang w:val="fr-FR"/>
        </w:rPr>
        <w:t>temps en  fonction de critères :</w:t>
      </w:r>
    </w:p>
    <w:p w:rsidR="00EE5B93" w:rsidRPr="00CA6BEC" w:rsidRDefault="00EE5B93" w:rsidP="00CA6BEC">
      <w:pPr>
        <w:pStyle w:val="Paragraphedeliste"/>
        <w:numPr>
          <w:ilvl w:val="1"/>
          <w:numId w:val="20"/>
        </w:numPr>
        <w:rPr>
          <w:bCs/>
          <w:lang w:val="fr-FR"/>
        </w:rPr>
      </w:pPr>
      <w:r w:rsidRPr="00CA6BEC">
        <w:rPr>
          <w:bCs/>
          <w:lang w:val="fr-FR"/>
        </w:rPr>
        <w:t>physique</w:t>
      </w:r>
      <w:r w:rsidR="00CA6BEC">
        <w:rPr>
          <w:bCs/>
          <w:lang w:val="fr-FR"/>
        </w:rPr>
        <w:t> : usure</w:t>
      </w:r>
    </w:p>
    <w:p w:rsidR="00EE5B93" w:rsidRPr="00CA6BEC" w:rsidRDefault="00EE5B93" w:rsidP="00CA6BEC">
      <w:pPr>
        <w:pStyle w:val="Paragraphedeliste"/>
        <w:numPr>
          <w:ilvl w:val="1"/>
          <w:numId w:val="20"/>
        </w:numPr>
        <w:rPr>
          <w:bCs/>
          <w:lang w:val="fr-FR"/>
        </w:rPr>
      </w:pPr>
      <w:r w:rsidRPr="00CA6BEC">
        <w:rPr>
          <w:bCs/>
          <w:lang w:val="fr-FR"/>
        </w:rPr>
        <w:t>technique</w:t>
      </w:r>
      <w:r w:rsidR="00CA6BEC">
        <w:rPr>
          <w:bCs/>
          <w:lang w:val="fr-FR"/>
        </w:rPr>
        <w:t> : obsolescence</w:t>
      </w:r>
    </w:p>
    <w:p w:rsidR="00EE5B93" w:rsidRDefault="00EE5B93" w:rsidP="00CA6BEC">
      <w:pPr>
        <w:pStyle w:val="Paragraphedeliste"/>
        <w:numPr>
          <w:ilvl w:val="1"/>
          <w:numId w:val="20"/>
        </w:numPr>
        <w:rPr>
          <w:bCs/>
          <w:lang w:val="fr-FR"/>
        </w:rPr>
      </w:pPr>
      <w:r w:rsidRPr="00CA6BEC">
        <w:rPr>
          <w:bCs/>
          <w:lang w:val="fr-FR"/>
        </w:rPr>
        <w:t>juridique</w:t>
      </w:r>
      <w:r w:rsidR="00CA6BEC">
        <w:rPr>
          <w:bCs/>
          <w:lang w:val="fr-FR"/>
        </w:rPr>
        <w:t> : période de protection légale ou contractuelle</w:t>
      </w:r>
    </w:p>
    <w:p w:rsidR="00CA6BEC" w:rsidRPr="00CA6BEC" w:rsidRDefault="00CA6BEC" w:rsidP="00CA6BEC">
      <w:pPr>
        <w:pStyle w:val="Paragraphedeliste"/>
        <w:rPr>
          <w:bCs/>
          <w:lang w:val="fr-FR"/>
        </w:rPr>
      </w:pPr>
    </w:p>
    <w:p w:rsidR="00EE5B93" w:rsidRPr="00CA6BEC" w:rsidRDefault="00CA6BEC" w:rsidP="00CA6BEC">
      <w:pPr>
        <w:pStyle w:val="Paragraphedeliste"/>
        <w:numPr>
          <w:ilvl w:val="0"/>
          <w:numId w:val="20"/>
        </w:numPr>
        <w:rPr>
          <w:bCs/>
          <w:lang w:val="fr-FR"/>
        </w:rPr>
      </w:pPr>
      <w:r w:rsidRPr="00CA6BEC">
        <w:rPr>
          <w:bCs/>
          <w:i/>
          <w:lang w:val="fr-FR"/>
        </w:rPr>
        <w:t xml:space="preserve"> </w:t>
      </w:r>
      <w:r w:rsidRPr="00171CB9">
        <w:rPr>
          <w:b/>
          <w:bCs/>
          <w:i/>
          <w:lang w:val="fr-FR"/>
        </w:rPr>
        <w:t>La mesure de l’utilisation</w:t>
      </w:r>
      <w:r w:rsidRPr="00CA6BEC">
        <w:rPr>
          <w:bCs/>
          <w:i/>
          <w:lang w:val="fr-FR"/>
        </w:rPr>
        <w:t> </w:t>
      </w:r>
      <w:r w:rsidRPr="00CA6BEC">
        <w:rPr>
          <w:bCs/>
          <w:lang w:val="fr-FR"/>
        </w:rPr>
        <w:t>: l’utilisation se mesure par la consommation des avantages économiques attendus de l’actif, c’est-à-dire par son potentiel à générer des flux de trésorerie. Elle peut être déterminée par une unité de mesure telle que :</w:t>
      </w:r>
    </w:p>
    <w:p w:rsidR="00CA6BEC" w:rsidRPr="00CA6BEC" w:rsidRDefault="00CA6BEC" w:rsidP="00CA6BEC">
      <w:pPr>
        <w:pStyle w:val="Paragraphedeliste"/>
        <w:numPr>
          <w:ilvl w:val="1"/>
          <w:numId w:val="20"/>
        </w:numPr>
        <w:rPr>
          <w:bCs/>
          <w:lang w:val="fr-FR"/>
        </w:rPr>
      </w:pPr>
      <w:r w:rsidRPr="00CA6BEC">
        <w:rPr>
          <w:bCs/>
          <w:lang w:val="fr-FR"/>
        </w:rPr>
        <w:t>l’unité de temps : durée d’utilisation</w:t>
      </w:r>
    </w:p>
    <w:p w:rsidR="00CA6BEC" w:rsidRPr="00CA6BEC" w:rsidRDefault="00CA6BEC" w:rsidP="00CA6BEC">
      <w:pPr>
        <w:pStyle w:val="Paragraphedeliste"/>
        <w:numPr>
          <w:ilvl w:val="1"/>
          <w:numId w:val="20"/>
        </w:numPr>
        <w:rPr>
          <w:bCs/>
          <w:lang w:val="fr-FR"/>
        </w:rPr>
      </w:pPr>
      <w:r w:rsidRPr="00CA6BEC">
        <w:rPr>
          <w:bCs/>
          <w:lang w:val="fr-FR"/>
        </w:rPr>
        <w:t>l’unitéd’œuvre : nombre de pièces produites, nombre de kilomètres</w:t>
      </w:r>
      <w:r>
        <w:rPr>
          <w:bCs/>
          <w:lang w:val="fr-FR"/>
        </w:rPr>
        <w:t xml:space="preserve"> </w:t>
      </w:r>
      <w:r w:rsidRPr="00CA6BEC">
        <w:rPr>
          <w:bCs/>
          <w:lang w:val="fr-FR"/>
        </w:rPr>
        <w:t>effectués…</w:t>
      </w:r>
    </w:p>
    <w:p w:rsidR="007B3A7D" w:rsidRPr="00CA6BEC" w:rsidRDefault="003D1A55" w:rsidP="00CA6BEC">
      <w:pPr>
        <w:pStyle w:val="Paragraphedeliste"/>
        <w:numPr>
          <w:ilvl w:val="0"/>
          <w:numId w:val="20"/>
        </w:numPr>
        <w:rPr>
          <w:lang w:val="fr-FR"/>
        </w:rPr>
      </w:pPr>
      <w:r w:rsidRPr="00CA6BEC">
        <w:rPr>
          <w:lang w:val="fr-FR"/>
        </w:rPr>
        <w:t>l</w:t>
      </w:r>
      <w:r w:rsidRPr="00CA6BEC">
        <w:rPr>
          <w:b/>
          <w:bCs/>
          <w:i/>
          <w:lang w:val="fr-FR"/>
        </w:rPr>
        <w:t>e</w:t>
      </w:r>
      <w:r w:rsidR="007B3A7D" w:rsidRPr="00CA6BEC">
        <w:rPr>
          <w:b/>
          <w:bCs/>
          <w:i/>
          <w:lang w:val="fr-FR"/>
        </w:rPr>
        <w:t xml:space="preserve"> </w:t>
      </w:r>
      <w:r w:rsidR="007B3A7D" w:rsidRPr="00171CB9">
        <w:rPr>
          <w:b/>
          <w:bCs/>
          <w:i/>
          <w:lang w:val="fr-FR"/>
        </w:rPr>
        <w:t>montant amortissable</w:t>
      </w:r>
      <w:r w:rsidR="007B3A7D" w:rsidRPr="00CA6BEC">
        <w:rPr>
          <w:b/>
          <w:bCs/>
          <w:lang w:val="fr-FR"/>
        </w:rPr>
        <w:t xml:space="preserve"> </w:t>
      </w:r>
      <w:r w:rsidR="007B3A7D" w:rsidRPr="00CA6BEC">
        <w:rPr>
          <w:lang w:val="fr-FR"/>
        </w:rPr>
        <w:t>d’un actif est sa valeur brute sous déduction de sa valeur résiduelle.</w:t>
      </w:r>
    </w:p>
    <w:p w:rsidR="00CA6BEC" w:rsidRPr="00CA6BEC" w:rsidRDefault="00CA6BEC" w:rsidP="00CA6BEC">
      <w:pPr>
        <w:pStyle w:val="Paragraphedeliste"/>
        <w:numPr>
          <w:ilvl w:val="0"/>
          <w:numId w:val="20"/>
        </w:numPr>
        <w:rPr>
          <w:lang w:val="fr-FR"/>
        </w:rPr>
      </w:pPr>
      <w:r w:rsidRPr="00171CB9">
        <w:rPr>
          <w:b/>
          <w:bCs/>
          <w:i/>
          <w:lang w:val="fr-FR"/>
        </w:rPr>
        <w:t>la valeur d’origine</w:t>
      </w:r>
      <w:r w:rsidRPr="00CA6BEC">
        <w:rPr>
          <w:bCs/>
          <w:lang w:val="fr-FR"/>
        </w:rPr>
        <w:t xml:space="preserve"> est la valeur d’entrée dans le patrimoine. La </w:t>
      </w:r>
      <w:r w:rsidRPr="00171CB9">
        <w:rPr>
          <w:b/>
          <w:bCs/>
          <w:i/>
          <w:lang w:val="fr-FR"/>
        </w:rPr>
        <w:t>valeur d’usage</w:t>
      </w:r>
      <w:r w:rsidRPr="00CA6BEC">
        <w:rPr>
          <w:bCs/>
          <w:lang w:val="fr-FR"/>
        </w:rPr>
        <w:t xml:space="preserve"> est la valeur d’estimation des avantages économiques futurs attendus de l’utilisation de l’actif et de sa sortie. La </w:t>
      </w:r>
      <w:r w:rsidRPr="00171CB9">
        <w:rPr>
          <w:b/>
          <w:bCs/>
          <w:i/>
          <w:lang w:val="fr-FR"/>
        </w:rPr>
        <w:t>valeur vénale</w:t>
      </w:r>
      <w:r w:rsidRPr="00CA6BEC">
        <w:rPr>
          <w:bCs/>
          <w:lang w:val="fr-FR"/>
        </w:rPr>
        <w:t xml:space="preserve"> correspond au montant qui pourrait être obtenu, à la date de la clôture, de la vente de l’actif, lors d’une transaction conclue à des conditions normales de marché.</w:t>
      </w:r>
      <w:r w:rsidR="00171CB9">
        <w:rPr>
          <w:bCs/>
          <w:lang w:val="fr-FR"/>
        </w:rPr>
        <w:t xml:space="preserve"> </w:t>
      </w:r>
      <w:r w:rsidR="00171CB9" w:rsidRPr="00171CB9">
        <w:rPr>
          <w:b/>
          <w:bCs/>
          <w:i/>
          <w:lang w:val="fr-FR"/>
        </w:rPr>
        <w:t>La valeur résiduelle</w:t>
      </w:r>
      <w:r w:rsidR="00171CB9">
        <w:rPr>
          <w:bCs/>
          <w:lang w:val="fr-FR"/>
        </w:rPr>
        <w:t xml:space="preserve">  est le montant, déduction faite des coûts de sortie attendus, que l’entreprise obtiendrait de la cession de l’actif sur</w:t>
      </w:r>
      <w:r w:rsidR="003028A6">
        <w:rPr>
          <w:bCs/>
          <w:lang w:val="fr-FR"/>
        </w:rPr>
        <w:t xml:space="preserve"> </w:t>
      </w:r>
      <w:r w:rsidR="00171CB9">
        <w:rPr>
          <w:bCs/>
          <w:lang w:val="fr-FR"/>
        </w:rPr>
        <w:t>le marché</w:t>
      </w:r>
      <w:r w:rsidR="003028A6">
        <w:rPr>
          <w:bCs/>
          <w:lang w:val="fr-FR"/>
        </w:rPr>
        <w:t xml:space="preserve"> </w:t>
      </w:r>
      <w:r w:rsidR="00171CB9">
        <w:rPr>
          <w:bCs/>
          <w:lang w:val="fr-FR"/>
        </w:rPr>
        <w:t>à la fin</w:t>
      </w:r>
      <w:r w:rsidR="003028A6">
        <w:rPr>
          <w:bCs/>
          <w:lang w:val="fr-FR"/>
        </w:rPr>
        <w:t xml:space="preserve"> </w:t>
      </w:r>
      <w:r w:rsidR="00171CB9">
        <w:rPr>
          <w:bCs/>
          <w:lang w:val="fr-FR"/>
        </w:rPr>
        <w:t>de</w:t>
      </w:r>
      <w:r w:rsidR="003028A6">
        <w:rPr>
          <w:bCs/>
          <w:lang w:val="fr-FR"/>
        </w:rPr>
        <w:t xml:space="preserve"> </w:t>
      </w:r>
      <w:r w:rsidR="00171CB9">
        <w:rPr>
          <w:bCs/>
          <w:lang w:val="fr-FR"/>
        </w:rPr>
        <w:t>son utilisation.</w:t>
      </w:r>
    </w:p>
    <w:p w:rsidR="007B3A7D" w:rsidRPr="00CA6BEC" w:rsidRDefault="007B3A7D" w:rsidP="00CA6BEC">
      <w:pPr>
        <w:pStyle w:val="Paragraphedeliste"/>
        <w:numPr>
          <w:ilvl w:val="0"/>
          <w:numId w:val="20"/>
        </w:numPr>
        <w:rPr>
          <w:lang w:val="fr-FR"/>
        </w:rPr>
      </w:pPr>
      <w:r w:rsidRPr="00CA6BEC">
        <w:rPr>
          <w:b/>
          <w:bCs/>
          <w:i/>
          <w:lang w:val="fr-FR"/>
        </w:rPr>
        <w:lastRenderedPageBreak/>
        <w:t>l’annuit</w:t>
      </w:r>
      <w:r w:rsidRPr="00CA6BEC">
        <w:rPr>
          <w:bCs/>
          <w:i/>
          <w:lang w:val="fr-FR"/>
        </w:rPr>
        <w:t>é</w:t>
      </w:r>
      <w:r w:rsidR="00DD1201" w:rsidRPr="00CA6BEC">
        <w:rPr>
          <w:bCs/>
          <w:lang w:val="fr-FR"/>
        </w:rPr>
        <w:t xml:space="preserve"> </w:t>
      </w:r>
      <w:r w:rsidRPr="00CA6BEC">
        <w:rPr>
          <w:lang w:val="fr-FR"/>
        </w:rPr>
        <w:t>est l’amortissement annuel de l’exercice.</w:t>
      </w:r>
    </w:p>
    <w:p w:rsidR="00CA6BEC" w:rsidRPr="00CA6BEC" w:rsidRDefault="007B3A7D" w:rsidP="00CA6BEC">
      <w:pPr>
        <w:pStyle w:val="Paragraphedeliste"/>
        <w:numPr>
          <w:ilvl w:val="0"/>
          <w:numId w:val="20"/>
        </w:numPr>
        <w:rPr>
          <w:lang w:val="fr-FR"/>
        </w:rPr>
      </w:pPr>
      <w:r w:rsidRPr="00CA6BEC">
        <w:rPr>
          <w:b/>
          <w:bCs/>
          <w:i/>
          <w:lang w:val="fr-FR"/>
        </w:rPr>
        <w:t>les amortissements cumulés</w:t>
      </w:r>
      <w:r w:rsidR="00DD1201" w:rsidRPr="00CA6BEC">
        <w:rPr>
          <w:bCs/>
          <w:lang w:val="fr-FR"/>
        </w:rPr>
        <w:t xml:space="preserve"> </w:t>
      </w:r>
      <w:r w:rsidRPr="00CA6BEC">
        <w:rPr>
          <w:lang w:val="fr-FR"/>
        </w:rPr>
        <w:t xml:space="preserve"> sont l’addition des différentes annuités pratiquées.</w:t>
      </w:r>
    </w:p>
    <w:p w:rsidR="007B3A7D" w:rsidRPr="00CA6BEC" w:rsidRDefault="00CA6BEC" w:rsidP="00CA6BEC">
      <w:pPr>
        <w:pStyle w:val="Paragraphedeliste"/>
        <w:numPr>
          <w:ilvl w:val="0"/>
          <w:numId w:val="20"/>
        </w:numPr>
        <w:rPr>
          <w:b/>
          <w:bCs/>
          <w:lang w:val="fr-FR"/>
        </w:rPr>
      </w:pPr>
      <w:r w:rsidRPr="00CA6BEC">
        <w:rPr>
          <w:b/>
          <w:bCs/>
          <w:i/>
          <w:lang w:val="fr-FR"/>
        </w:rPr>
        <w:t xml:space="preserve">le taux </w:t>
      </w:r>
      <w:r w:rsidRPr="00CA6BEC">
        <w:rPr>
          <w:bCs/>
          <w:i/>
          <w:lang w:val="fr-FR"/>
        </w:rPr>
        <w:t>d’amortissement</w:t>
      </w:r>
      <w:r w:rsidRPr="00CA6BEC">
        <w:rPr>
          <w:bCs/>
          <w:lang w:val="fr-FR"/>
        </w:rPr>
        <w:t xml:space="preserve"> </w:t>
      </w:r>
      <w:r w:rsidRPr="00CA6BEC">
        <w:rPr>
          <w:lang w:val="fr-FR"/>
        </w:rPr>
        <w:t>est le temps d’utilisation exprimé en pourcentage</w:t>
      </w:r>
    </w:p>
    <w:p w:rsidR="00A37130" w:rsidRDefault="00A37130" w:rsidP="007B3A7D">
      <w:pPr>
        <w:rPr>
          <w:lang w:val="fr-FR"/>
        </w:rPr>
      </w:pPr>
      <w:r w:rsidRPr="00BB638C">
        <w:rPr>
          <w:b/>
          <w:sz w:val="24"/>
          <w:szCs w:val="24"/>
          <w:u w:val="single"/>
          <w:lang w:val="fr-FR"/>
        </w:rPr>
        <w:t>Exemple</w:t>
      </w:r>
      <w:r>
        <w:rPr>
          <w:lang w:val="fr-FR"/>
        </w:rPr>
        <w:t> : un véhicule est acquis pour 20 000€. Ce véhicule sera racheté par le fournisseur dans cinq ans pour 10% du prix d’achat. L’entreprise devra supporter les frais de revente, lesquels représentent  4% du prix de revente. Dans ce cas, la valeur résiduelle est de :</w:t>
      </w:r>
    </w:p>
    <w:p w:rsidR="00A37130" w:rsidRDefault="00A37130" w:rsidP="00BB638C">
      <w:pPr>
        <w:ind w:left="1440" w:firstLine="720"/>
        <w:rPr>
          <w:lang w:val="fr-FR"/>
        </w:rPr>
      </w:pPr>
      <w:r>
        <w:rPr>
          <w:lang w:val="fr-FR"/>
        </w:rPr>
        <w:t>(20 000 * 10%) – [(20 000 *10%) *4%] = 1920€</w:t>
      </w:r>
    </w:p>
    <w:p w:rsidR="00A37130" w:rsidRDefault="00A37130" w:rsidP="007B3A7D">
      <w:pPr>
        <w:rPr>
          <w:lang w:val="fr-FR"/>
        </w:rPr>
      </w:pPr>
      <w:r>
        <w:rPr>
          <w:lang w:val="fr-FR"/>
        </w:rPr>
        <w:t>Elle est estimée nette des frais de revente. Le montant amortissable s’élève à : 20 000 – 1 920 = 18 080</w:t>
      </w:r>
    </w:p>
    <w:p w:rsidR="00BB638C" w:rsidRDefault="00BB638C" w:rsidP="007B3A7D">
      <w:pPr>
        <w:rPr>
          <w:lang w:val="fr-FR"/>
        </w:rPr>
      </w:pPr>
      <w:r>
        <w:rPr>
          <w:lang w:val="fr-FR"/>
        </w:rPr>
        <w:t>Annuité : 18 080 / 5 = 3 616</w:t>
      </w:r>
    </w:p>
    <w:p w:rsidR="00BB638C" w:rsidRDefault="00171CB9" w:rsidP="00BB638C">
      <w:pPr>
        <w:jc w:val="both"/>
        <w:rPr>
          <w:b/>
          <w:u w:val="single"/>
          <w:lang w:val="fr-FR"/>
        </w:rPr>
      </w:pPr>
      <w:r>
        <w:rPr>
          <w:b/>
          <w:u w:val="single"/>
          <w:lang w:val="fr-FR"/>
        </w:rPr>
        <w:t>Modalités de calcul :</w:t>
      </w:r>
    </w:p>
    <w:p w:rsidR="00171CB9" w:rsidRDefault="000E71FC" w:rsidP="00BB638C">
      <w:pPr>
        <w:jc w:val="both"/>
        <w:rPr>
          <w:lang w:val="fr-FR"/>
        </w:rPr>
      </w:pPr>
      <w:r>
        <w:rPr>
          <w:lang w:val="fr-FR"/>
        </w:rPr>
        <w:t>Selon l</w:t>
      </w:r>
      <w:r w:rsidRPr="000E71FC">
        <w:rPr>
          <w:lang w:val="fr-FR"/>
        </w:rPr>
        <w:t>’article 322-1 du PCG</w:t>
      </w:r>
      <w:r>
        <w:rPr>
          <w:lang w:val="fr-FR"/>
        </w:rPr>
        <w:t>, le plan d’amortissement est la traduction comptable de la répartition de la valeur amortissable d’un actif selon le rythme de consommation des avantages économiques attendus en fonction de son utilisation probable.</w:t>
      </w:r>
      <w:r w:rsidRPr="000E71FC">
        <w:rPr>
          <w:lang w:val="fr-FR"/>
        </w:rPr>
        <w:t xml:space="preserve"> </w:t>
      </w:r>
    </w:p>
    <w:p w:rsidR="000E71FC" w:rsidRDefault="000E71FC" w:rsidP="00BB638C">
      <w:pPr>
        <w:jc w:val="both"/>
        <w:rPr>
          <w:lang w:val="fr-FR"/>
        </w:rPr>
      </w:pPr>
      <w:r>
        <w:rPr>
          <w:lang w:val="fr-FR"/>
        </w:rPr>
        <w:t>Le plan d’amortissement se présente sous forme d’un tableau prévisionnel de la répartition de la valeur amortissable du bien, par tranches successives et sur une période déterminée. Pour les immobilisations non décomposables, un plan unique est retenu pour l’ensemble de l’immobilisation. Pour les décomposables, il est nécessaire d’établir un plan d’amortissement propre à chaque composant .Plusieurs plans sont donc établis pour une même immobilisation.</w:t>
      </w:r>
    </w:p>
    <w:p w:rsidR="002B5E2C" w:rsidRDefault="002B5E2C" w:rsidP="00BB638C">
      <w:pPr>
        <w:jc w:val="both"/>
        <w:rPr>
          <w:b/>
          <w:u w:val="single"/>
          <w:lang w:val="fr-FR"/>
        </w:rPr>
      </w:pPr>
      <w:r w:rsidRPr="002B5E2C">
        <w:rPr>
          <w:b/>
          <w:u w:val="single"/>
          <w:lang w:val="fr-FR"/>
        </w:rPr>
        <w:t>Détermination du mode d’amortissement :</w:t>
      </w:r>
    </w:p>
    <w:p w:rsidR="002B5E2C" w:rsidRDefault="002B5E2C" w:rsidP="00BB638C">
      <w:pPr>
        <w:jc w:val="both"/>
        <w:rPr>
          <w:lang w:val="fr-FR"/>
        </w:rPr>
      </w:pPr>
      <w:r w:rsidRPr="002B5E2C">
        <w:rPr>
          <w:lang w:val="fr-FR"/>
        </w:rPr>
        <w:t>Les</w:t>
      </w:r>
      <w:r>
        <w:rPr>
          <w:lang w:val="fr-FR"/>
        </w:rPr>
        <w:t xml:space="preserve"> amortissements comptables peuvent se révéler moins avantageux que les amortissements fiscaux. En conséquence, pour bénéficier des avantages fiscaux, l’entreprise devra pour chaque actif amortissable :</w:t>
      </w:r>
    </w:p>
    <w:p w:rsidR="002B5E2C" w:rsidRDefault="002B5E2C" w:rsidP="002B5E2C">
      <w:pPr>
        <w:pStyle w:val="Paragraphedeliste"/>
        <w:numPr>
          <w:ilvl w:val="0"/>
          <w:numId w:val="21"/>
        </w:numPr>
        <w:jc w:val="both"/>
        <w:rPr>
          <w:lang w:val="fr-FR"/>
        </w:rPr>
      </w:pPr>
      <w:r w:rsidRPr="002B5E2C">
        <w:rPr>
          <w:b/>
          <w:i/>
          <w:lang w:val="fr-FR"/>
        </w:rPr>
        <w:t>calculer les amortissements comptables</w:t>
      </w:r>
      <w:r>
        <w:rPr>
          <w:lang w:val="fr-FR"/>
        </w:rPr>
        <w:t>, d’après les modalités de calcul énoncées par le plan comptable général et d’après l’utilisation du bien par l’entreprise (linéaire, variable, croissant ou dégressif à taux décroissant)</w:t>
      </w:r>
    </w:p>
    <w:p w:rsidR="002B5E2C" w:rsidRDefault="002B5E2C" w:rsidP="002B5E2C">
      <w:pPr>
        <w:pStyle w:val="Paragraphedeliste"/>
        <w:numPr>
          <w:ilvl w:val="0"/>
          <w:numId w:val="21"/>
        </w:numPr>
        <w:jc w:val="both"/>
        <w:rPr>
          <w:lang w:val="fr-FR"/>
        </w:rPr>
      </w:pPr>
      <w:r w:rsidRPr="002B5E2C">
        <w:rPr>
          <w:b/>
          <w:i/>
          <w:lang w:val="fr-FR"/>
        </w:rPr>
        <w:t>calculer les amortissements fiscaux</w:t>
      </w:r>
      <w:r>
        <w:rPr>
          <w:lang w:val="fr-FR"/>
        </w:rPr>
        <w:t xml:space="preserve"> déductibles du résultat imposable, d’après les modalités de calcul prévues par l’administration fiscale (linéaire ou dégressif)</w:t>
      </w:r>
    </w:p>
    <w:p w:rsidR="002B5E2C" w:rsidRPr="002B5E2C" w:rsidRDefault="002B5E2C" w:rsidP="002B5E2C">
      <w:pPr>
        <w:pStyle w:val="Paragraphedeliste"/>
        <w:numPr>
          <w:ilvl w:val="0"/>
          <w:numId w:val="21"/>
        </w:numPr>
        <w:jc w:val="both"/>
        <w:rPr>
          <w:lang w:val="fr-FR"/>
        </w:rPr>
      </w:pPr>
      <w:r w:rsidRPr="002B5E2C">
        <w:rPr>
          <w:b/>
          <w:lang w:val="fr-FR"/>
        </w:rPr>
        <w:t>constater les amortissements dérogatoires</w:t>
      </w:r>
      <w:r>
        <w:rPr>
          <w:lang w:val="fr-FR"/>
        </w:rPr>
        <w:t xml:space="preserve"> résultant des divergences entre les règles comptables et fiscales.</w:t>
      </w:r>
    </w:p>
    <w:p w:rsidR="002B5E2C" w:rsidRDefault="002B5E2C" w:rsidP="00BB638C">
      <w:pPr>
        <w:jc w:val="both"/>
        <w:rPr>
          <w:lang w:val="fr-FR"/>
        </w:rPr>
      </w:pPr>
    </w:p>
    <w:p w:rsidR="003028A6" w:rsidRDefault="002B5E2C" w:rsidP="00BB638C">
      <w:pPr>
        <w:jc w:val="both"/>
        <w:rPr>
          <w:lang w:val="fr-FR"/>
        </w:rPr>
      </w:pPr>
      <w:r>
        <w:rPr>
          <w:lang w:val="fr-FR"/>
        </w:rPr>
        <w:t>Nous étudierons</w:t>
      </w:r>
      <w:r w:rsidR="003028A6">
        <w:rPr>
          <w:lang w:val="fr-FR"/>
        </w:rPr>
        <w:t xml:space="preserve"> trois méthodes</w:t>
      </w:r>
      <w:r>
        <w:rPr>
          <w:lang w:val="fr-FR"/>
        </w:rPr>
        <w:t> :</w:t>
      </w:r>
      <w:r w:rsidR="003028A6">
        <w:rPr>
          <w:lang w:val="fr-FR"/>
        </w:rPr>
        <w:t xml:space="preserve"> le mode linéaire (fiche 7 </w:t>
      </w:r>
      <w:r>
        <w:rPr>
          <w:lang w:val="fr-FR"/>
        </w:rPr>
        <w:t>b</w:t>
      </w:r>
      <w:r w:rsidR="003028A6">
        <w:rPr>
          <w:lang w:val="fr-FR"/>
        </w:rPr>
        <w:t>), le mode dégressif (fiche 7 b) et le mode dérogatoire (fiche 7 c).</w:t>
      </w:r>
    </w:p>
    <w:p w:rsidR="002B5E2C" w:rsidRDefault="002B5E2C">
      <w:pPr>
        <w:rPr>
          <w:lang w:val="fr-FR"/>
        </w:rPr>
      </w:pPr>
      <w:r>
        <w:rPr>
          <w:lang w:val="fr-FR"/>
        </w:rPr>
        <w:br w:type="page"/>
      </w:r>
    </w:p>
    <w:p w:rsidR="002B5E2C" w:rsidRDefault="002B5E2C" w:rsidP="00BB638C">
      <w:pPr>
        <w:jc w:val="both"/>
        <w:rPr>
          <w:lang w:val="fr-FR"/>
        </w:rPr>
      </w:pPr>
    </w:p>
    <w:p w:rsidR="0020373E" w:rsidRPr="008D5007" w:rsidRDefault="008D5007" w:rsidP="00643BDA">
      <w:pPr>
        <w:rPr>
          <w:b/>
          <w:sz w:val="24"/>
          <w:szCs w:val="24"/>
          <w:u w:val="single"/>
          <w:lang w:val="fr-FR"/>
        </w:rPr>
      </w:pPr>
      <w:r w:rsidRPr="008D5007">
        <w:rPr>
          <w:b/>
          <w:sz w:val="24"/>
          <w:szCs w:val="24"/>
          <w:u w:val="single"/>
          <w:lang w:val="fr-FR"/>
        </w:rPr>
        <w:t>Rôle économique</w:t>
      </w:r>
    </w:p>
    <w:p w:rsidR="00643BDA" w:rsidRDefault="00643BDA" w:rsidP="00643BDA">
      <w:pPr>
        <w:rPr>
          <w:lang w:val="fr-FR"/>
        </w:rPr>
      </w:pPr>
      <w:r w:rsidRPr="00643BDA">
        <w:rPr>
          <w:lang w:val="fr-FR"/>
        </w:rPr>
        <w:t>(</w:t>
      </w:r>
      <w:r w:rsidR="00446422" w:rsidRPr="00643BDA">
        <w:rPr>
          <w:lang w:val="fr-FR"/>
        </w:rPr>
        <w:t>Voir</w:t>
      </w:r>
      <w:r w:rsidRPr="00643BDA">
        <w:rPr>
          <w:lang w:val="fr-FR"/>
        </w:rPr>
        <w:t xml:space="preserve"> la CG par la méthode des flux de C Collette et J Richard)</w:t>
      </w:r>
      <w:r w:rsidR="00AF5EE4" w:rsidRPr="00AF5EE4">
        <w:rPr>
          <w:noProof/>
        </w:rPr>
        <w:pict>
          <v:shapetype id="_x0000_t202" coordsize="21600,21600" o:spt="202" path="m,l,21600r21600,l21600,xe">
            <v:stroke joinstyle="miter"/>
            <v:path gradientshapeok="t" o:connecttype="rect"/>
          </v:shapetype>
          <v:shape id="_x0000_s1033" type="#_x0000_t202" style="position:absolute;margin-left:211.5pt;margin-top:23pt;width:77.25pt;height:25.5pt;z-index:251664384;mso-position-horizontal-relative:text;mso-position-vertical-relative:text">
            <v:textbox>
              <w:txbxContent>
                <w:p w:rsidR="004541C6" w:rsidRDefault="004541C6">
                  <w:r>
                    <w:t>PRODUCTION</w:t>
                  </w:r>
                </w:p>
              </w:txbxContent>
            </v:textbox>
          </v:shape>
        </w:pict>
      </w:r>
      <w:r w:rsidR="00AF5EE4" w:rsidRPr="00AF5EE4">
        <w:rPr>
          <w:noProof/>
        </w:rPr>
        <w:pict>
          <v:shape id="_x0000_s1032" type="#_x0000_t202" style="position:absolute;margin-left:26.25pt;margin-top:23pt;width:99.75pt;height:25.5pt;z-index:251663360;mso-position-horizontal-relative:text;mso-position-vertical-relative:text">
            <v:textbox>
              <w:txbxContent>
                <w:p w:rsidR="00643BDA" w:rsidRDefault="00643BDA">
                  <w:r>
                    <w:t>INVESTISSEMENTS</w:t>
                  </w:r>
                </w:p>
              </w:txbxContent>
            </v:textbox>
          </v:shape>
        </w:pict>
      </w:r>
    </w:p>
    <w:p w:rsidR="00643BDA" w:rsidRPr="00643BDA" w:rsidRDefault="00AF5EE4" w:rsidP="00643BDA">
      <w:pPr>
        <w:rPr>
          <w:lang w:val="fr-FR"/>
        </w:rPr>
      </w:pPr>
      <w:r w:rsidRPr="00AF5EE4">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2" type="#_x0000_t68" style="position:absolute;margin-left:48.35pt;margin-top:23.05pt;width:7.15pt;height:122.25pt;z-index:251672576"/>
        </w:pict>
      </w:r>
      <w:r w:rsidRPr="00AF5EE4">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7" type="#_x0000_t13" style="position:absolute;margin-left:131.25pt;margin-top:6.55pt;width:80.25pt;height:7.15pt;z-index:251668480"/>
        </w:pict>
      </w:r>
    </w:p>
    <w:p w:rsidR="00295908" w:rsidRDefault="00AF5EE4" w:rsidP="007B3A7D">
      <w:pPr>
        <w:rPr>
          <w:lang w:val="fr-FR"/>
        </w:rPr>
      </w:pPr>
      <w:r w:rsidRPr="00AF5EE4">
        <w:rPr>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43" type="#_x0000_t66" style="position:absolute;margin-left:-41.25pt;margin-top:39.95pt;width:89.6pt;height:7.15pt;z-index:251673600"/>
        </w:pict>
      </w:r>
      <w:r w:rsidRPr="00AF5EE4">
        <w:rPr>
          <w:noProof/>
        </w:rPr>
        <w:pict>
          <v:shape id="_x0000_s1041" type="#_x0000_t66" style="position:absolute;margin-left:83.25pt;margin-top:137.85pt;width:134.25pt;height:9.75pt;z-index:251671552"/>
        </w:pict>
      </w:r>
      <w:r w:rsidRPr="00AF5EE4">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0" type="#_x0000_t67" style="position:absolute;margin-left:243pt;margin-top:86.85pt;width:7.15pt;height:45.75pt;z-index:251670528"/>
        </w:pict>
      </w:r>
      <w:r w:rsidRPr="00AF5EE4">
        <w:rPr>
          <w:noProof/>
        </w:rPr>
        <w:pict>
          <v:shape id="_x0000_s1039" type="#_x0000_t67" style="position:absolute;margin-left:211.5pt;margin-top:1.35pt;width:7.15pt;height:45.75pt;z-index:251669504"/>
        </w:pict>
      </w:r>
      <w:r w:rsidRPr="00AF5EE4">
        <w:rPr>
          <w:noProof/>
        </w:rPr>
        <w:pict>
          <v:shape id="_x0000_s1036" type="#_x0000_t202" style="position:absolute;margin-left:-4.5pt;margin-top:119.85pt;width:87.75pt;height:34.5pt;z-index:251667456">
            <v:textbox>
              <w:txbxContent>
                <w:p w:rsidR="00446422" w:rsidRDefault="00446422">
                  <w:r>
                    <w:t>LIQUIDITES OU DISPONIBILITES</w:t>
                  </w:r>
                </w:p>
              </w:txbxContent>
            </v:textbox>
          </v:shape>
        </w:pict>
      </w:r>
      <w:r w:rsidRPr="00AF5EE4">
        <w:rPr>
          <w:noProof/>
        </w:rPr>
        <w:pict>
          <v:shape id="_x0000_s1035" type="#_x0000_t202" style="position:absolute;margin-left:217.5pt;margin-top:137.85pt;width:135pt;height:31.5pt;z-index:251666432">
            <v:textbox>
              <w:txbxContent>
                <w:p w:rsidR="00D80D61" w:rsidRDefault="00D80D61">
                  <w:r>
                    <w:t>CREANCES SUR CLIENTS</w:t>
                  </w:r>
                </w:p>
              </w:txbxContent>
            </v:textbox>
          </v:shape>
        </w:pict>
      </w:r>
      <w:r w:rsidRPr="00AF5EE4">
        <w:rPr>
          <w:noProof/>
        </w:rPr>
        <w:pict>
          <v:shape id="_x0000_s1034" type="#_x0000_t202" style="position:absolute;margin-left:211.5pt;margin-top:50.85pt;width:141pt;height:33pt;z-index:251665408">
            <v:textbox>
              <w:txbxContent>
                <w:p w:rsidR="00E76B98" w:rsidRDefault="00E76B98">
                  <w:r>
                    <w:t>STOCKS DE PRODUITS FINIS</w:t>
                  </w:r>
                </w:p>
              </w:txbxContent>
            </v:textbox>
          </v:shape>
        </w:pict>
      </w:r>
      <w:r w:rsidRPr="00AF5EE4">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0" type="#_x0000_t34" style="position:absolute;margin-left:373.5pt;margin-top:1.35pt;width:.05pt;height:.05pt;rotation:90;flip:x;z-index:251662336" o:connectortype="elbow" adj="0,170424000,-192456000">
            <v:stroke endarrow="block"/>
          </v:shape>
        </w:pict>
      </w:r>
      <w:r w:rsidR="00446422">
        <w:rPr>
          <w:lang w:val="fr-FR"/>
        </w:rPr>
        <w:tab/>
      </w:r>
      <w:r w:rsidR="00446422">
        <w:rPr>
          <w:lang w:val="fr-FR"/>
        </w:rPr>
        <w:tab/>
      </w:r>
      <w:r w:rsidR="00446422">
        <w:rPr>
          <w:lang w:val="fr-FR"/>
        </w:rPr>
        <w:tab/>
      </w:r>
      <w:r w:rsidR="00446422">
        <w:rPr>
          <w:lang w:val="fr-FR"/>
        </w:rPr>
        <w:tab/>
      </w:r>
      <w:r w:rsidR="00446422">
        <w:rPr>
          <w:lang w:val="fr-FR"/>
        </w:rPr>
        <w:tab/>
      </w:r>
      <w:r w:rsidR="00446422">
        <w:rPr>
          <w:lang w:val="fr-FR"/>
        </w:rPr>
        <w:tab/>
      </w:r>
      <w:r w:rsidR="00446422">
        <w:rPr>
          <w:lang w:val="fr-FR"/>
        </w:rPr>
        <w:tab/>
        <w:t>Parmi les éléments de coûts :</w:t>
      </w:r>
    </w:p>
    <w:p w:rsidR="00446422" w:rsidRDefault="00446422" w:rsidP="007B3A7D">
      <w:pPr>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t>L’amortissement</w:t>
      </w:r>
    </w:p>
    <w:p w:rsidR="00446422" w:rsidRDefault="00446422" w:rsidP="007B3A7D">
      <w:pPr>
        <w:rPr>
          <w:lang w:val="fr-FR"/>
        </w:rPr>
      </w:pPr>
    </w:p>
    <w:p w:rsidR="00BB638C" w:rsidRDefault="00BB638C" w:rsidP="00BB638C">
      <w:pPr>
        <w:ind w:left="4320" w:firstLine="720"/>
        <w:rPr>
          <w:lang w:val="fr-FR"/>
        </w:rPr>
      </w:pPr>
    </w:p>
    <w:p w:rsidR="00446422" w:rsidRDefault="00BB638C" w:rsidP="00BB638C">
      <w:pPr>
        <w:ind w:left="4320" w:firstLine="720"/>
        <w:rPr>
          <w:lang w:val="fr-FR"/>
        </w:rPr>
      </w:pPr>
      <w:r>
        <w:rPr>
          <w:lang w:val="fr-FR"/>
        </w:rPr>
        <w:t>Ventes</w:t>
      </w:r>
      <w:r>
        <w:rPr>
          <w:lang w:val="fr-FR"/>
        </w:rPr>
        <w:tab/>
      </w:r>
    </w:p>
    <w:p w:rsidR="00BB638C" w:rsidRPr="00FC57C1" w:rsidRDefault="00BB638C">
      <w:pPr>
        <w:rPr>
          <w:lang w:val="fr-FR"/>
        </w:rPr>
      </w:pPr>
    </w:p>
    <w:sectPr w:rsidR="00BB638C" w:rsidRPr="00FC57C1" w:rsidSect="00450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9708C"/>
    <w:multiLevelType w:val="hybridMultilevel"/>
    <w:tmpl w:val="7F94E5FC"/>
    <w:lvl w:ilvl="0" w:tplc="01E4F5F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DE3D99"/>
    <w:multiLevelType w:val="hybridMultilevel"/>
    <w:tmpl w:val="AFA85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3711B1"/>
    <w:multiLevelType w:val="hybridMultilevel"/>
    <w:tmpl w:val="CB56515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FD23AE3"/>
    <w:multiLevelType w:val="hybridMultilevel"/>
    <w:tmpl w:val="906E3A28"/>
    <w:lvl w:ilvl="0" w:tplc="7410EB98">
      <w:start w:val="1"/>
      <w:numFmt w:val="bullet"/>
      <w:lvlText w:val=""/>
      <w:lvlJc w:val="left"/>
      <w:pPr>
        <w:tabs>
          <w:tab w:val="num" w:pos="720"/>
        </w:tabs>
        <w:ind w:left="720" w:hanging="360"/>
      </w:pPr>
      <w:rPr>
        <w:rFonts w:ascii="Wingdings" w:hAnsi="Wingdings" w:hint="default"/>
      </w:rPr>
    </w:lvl>
    <w:lvl w:ilvl="1" w:tplc="E0129424" w:tentative="1">
      <w:start w:val="1"/>
      <w:numFmt w:val="bullet"/>
      <w:lvlText w:val=""/>
      <w:lvlJc w:val="left"/>
      <w:pPr>
        <w:tabs>
          <w:tab w:val="num" w:pos="1440"/>
        </w:tabs>
        <w:ind w:left="1440" w:hanging="360"/>
      </w:pPr>
      <w:rPr>
        <w:rFonts w:ascii="Wingdings" w:hAnsi="Wingdings" w:hint="default"/>
      </w:rPr>
    </w:lvl>
    <w:lvl w:ilvl="2" w:tplc="BD82CB48" w:tentative="1">
      <w:start w:val="1"/>
      <w:numFmt w:val="bullet"/>
      <w:lvlText w:val=""/>
      <w:lvlJc w:val="left"/>
      <w:pPr>
        <w:tabs>
          <w:tab w:val="num" w:pos="2160"/>
        </w:tabs>
        <w:ind w:left="2160" w:hanging="360"/>
      </w:pPr>
      <w:rPr>
        <w:rFonts w:ascii="Wingdings" w:hAnsi="Wingdings" w:hint="default"/>
      </w:rPr>
    </w:lvl>
    <w:lvl w:ilvl="3" w:tplc="04A47632" w:tentative="1">
      <w:start w:val="1"/>
      <w:numFmt w:val="bullet"/>
      <w:lvlText w:val=""/>
      <w:lvlJc w:val="left"/>
      <w:pPr>
        <w:tabs>
          <w:tab w:val="num" w:pos="2880"/>
        </w:tabs>
        <w:ind w:left="2880" w:hanging="360"/>
      </w:pPr>
      <w:rPr>
        <w:rFonts w:ascii="Wingdings" w:hAnsi="Wingdings" w:hint="default"/>
      </w:rPr>
    </w:lvl>
    <w:lvl w:ilvl="4" w:tplc="E10C4E92" w:tentative="1">
      <w:start w:val="1"/>
      <w:numFmt w:val="bullet"/>
      <w:lvlText w:val=""/>
      <w:lvlJc w:val="left"/>
      <w:pPr>
        <w:tabs>
          <w:tab w:val="num" w:pos="3600"/>
        </w:tabs>
        <w:ind w:left="3600" w:hanging="360"/>
      </w:pPr>
      <w:rPr>
        <w:rFonts w:ascii="Wingdings" w:hAnsi="Wingdings" w:hint="default"/>
      </w:rPr>
    </w:lvl>
    <w:lvl w:ilvl="5" w:tplc="97121AEA" w:tentative="1">
      <w:start w:val="1"/>
      <w:numFmt w:val="bullet"/>
      <w:lvlText w:val=""/>
      <w:lvlJc w:val="left"/>
      <w:pPr>
        <w:tabs>
          <w:tab w:val="num" w:pos="4320"/>
        </w:tabs>
        <w:ind w:left="4320" w:hanging="360"/>
      </w:pPr>
      <w:rPr>
        <w:rFonts w:ascii="Wingdings" w:hAnsi="Wingdings" w:hint="default"/>
      </w:rPr>
    </w:lvl>
    <w:lvl w:ilvl="6" w:tplc="0480E7CE" w:tentative="1">
      <w:start w:val="1"/>
      <w:numFmt w:val="bullet"/>
      <w:lvlText w:val=""/>
      <w:lvlJc w:val="left"/>
      <w:pPr>
        <w:tabs>
          <w:tab w:val="num" w:pos="5040"/>
        </w:tabs>
        <w:ind w:left="5040" w:hanging="360"/>
      </w:pPr>
      <w:rPr>
        <w:rFonts w:ascii="Wingdings" w:hAnsi="Wingdings" w:hint="default"/>
      </w:rPr>
    </w:lvl>
    <w:lvl w:ilvl="7" w:tplc="4636D81C" w:tentative="1">
      <w:start w:val="1"/>
      <w:numFmt w:val="bullet"/>
      <w:lvlText w:val=""/>
      <w:lvlJc w:val="left"/>
      <w:pPr>
        <w:tabs>
          <w:tab w:val="num" w:pos="5760"/>
        </w:tabs>
        <w:ind w:left="5760" w:hanging="360"/>
      </w:pPr>
      <w:rPr>
        <w:rFonts w:ascii="Wingdings" w:hAnsi="Wingdings" w:hint="default"/>
      </w:rPr>
    </w:lvl>
    <w:lvl w:ilvl="8" w:tplc="2BEC8A9A" w:tentative="1">
      <w:start w:val="1"/>
      <w:numFmt w:val="bullet"/>
      <w:lvlText w:val=""/>
      <w:lvlJc w:val="left"/>
      <w:pPr>
        <w:tabs>
          <w:tab w:val="num" w:pos="6480"/>
        </w:tabs>
        <w:ind w:left="6480" w:hanging="360"/>
      </w:pPr>
      <w:rPr>
        <w:rFonts w:ascii="Wingdings" w:hAnsi="Wingdings" w:hint="default"/>
      </w:rPr>
    </w:lvl>
  </w:abstractNum>
  <w:abstractNum w:abstractNumId="4">
    <w:nsid w:val="2FE47791"/>
    <w:multiLevelType w:val="hybridMultilevel"/>
    <w:tmpl w:val="87CAD4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43A3063E"/>
    <w:multiLevelType w:val="hybridMultilevel"/>
    <w:tmpl w:val="69F6648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4C593A65"/>
    <w:multiLevelType w:val="hybridMultilevel"/>
    <w:tmpl w:val="06EA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8D4A94"/>
    <w:multiLevelType w:val="hybridMultilevel"/>
    <w:tmpl w:val="86C49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FB3F8B"/>
    <w:multiLevelType w:val="hybridMultilevel"/>
    <w:tmpl w:val="F9D653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020C30"/>
    <w:multiLevelType w:val="hybridMultilevel"/>
    <w:tmpl w:val="74F08894"/>
    <w:lvl w:ilvl="0" w:tplc="0474438E">
      <w:start w:val="1"/>
      <w:numFmt w:val="bullet"/>
      <w:lvlText w:val=""/>
      <w:lvlJc w:val="left"/>
      <w:pPr>
        <w:tabs>
          <w:tab w:val="num" w:pos="720"/>
        </w:tabs>
        <w:ind w:left="720" w:hanging="360"/>
      </w:pPr>
      <w:rPr>
        <w:rFonts w:ascii="Wingdings" w:hAnsi="Wingdings" w:hint="default"/>
      </w:rPr>
    </w:lvl>
    <w:lvl w:ilvl="1" w:tplc="169E3492" w:tentative="1">
      <w:start w:val="1"/>
      <w:numFmt w:val="bullet"/>
      <w:lvlText w:val=""/>
      <w:lvlJc w:val="left"/>
      <w:pPr>
        <w:tabs>
          <w:tab w:val="num" w:pos="1440"/>
        </w:tabs>
        <w:ind w:left="1440" w:hanging="360"/>
      </w:pPr>
      <w:rPr>
        <w:rFonts w:ascii="Wingdings" w:hAnsi="Wingdings" w:hint="default"/>
      </w:rPr>
    </w:lvl>
    <w:lvl w:ilvl="2" w:tplc="3752D142" w:tentative="1">
      <w:start w:val="1"/>
      <w:numFmt w:val="bullet"/>
      <w:lvlText w:val=""/>
      <w:lvlJc w:val="left"/>
      <w:pPr>
        <w:tabs>
          <w:tab w:val="num" w:pos="2160"/>
        </w:tabs>
        <w:ind w:left="2160" w:hanging="360"/>
      </w:pPr>
      <w:rPr>
        <w:rFonts w:ascii="Wingdings" w:hAnsi="Wingdings" w:hint="default"/>
      </w:rPr>
    </w:lvl>
    <w:lvl w:ilvl="3" w:tplc="469AD914" w:tentative="1">
      <w:start w:val="1"/>
      <w:numFmt w:val="bullet"/>
      <w:lvlText w:val=""/>
      <w:lvlJc w:val="left"/>
      <w:pPr>
        <w:tabs>
          <w:tab w:val="num" w:pos="2880"/>
        </w:tabs>
        <w:ind w:left="2880" w:hanging="360"/>
      </w:pPr>
      <w:rPr>
        <w:rFonts w:ascii="Wingdings" w:hAnsi="Wingdings" w:hint="default"/>
      </w:rPr>
    </w:lvl>
    <w:lvl w:ilvl="4" w:tplc="5B0EB784" w:tentative="1">
      <w:start w:val="1"/>
      <w:numFmt w:val="bullet"/>
      <w:lvlText w:val=""/>
      <w:lvlJc w:val="left"/>
      <w:pPr>
        <w:tabs>
          <w:tab w:val="num" w:pos="3600"/>
        </w:tabs>
        <w:ind w:left="3600" w:hanging="360"/>
      </w:pPr>
      <w:rPr>
        <w:rFonts w:ascii="Wingdings" w:hAnsi="Wingdings" w:hint="default"/>
      </w:rPr>
    </w:lvl>
    <w:lvl w:ilvl="5" w:tplc="EDF69BE4" w:tentative="1">
      <w:start w:val="1"/>
      <w:numFmt w:val="bullet"/>
      <w:lvlText w:val=""/>
      <w:lvlJc w:val="left"/>
      <w:pPr>
        <w:tabs>
          <w:tab w:val="num" w:pos="4320"/>
        </w:tabs>
        <w:ind w:left="4320" w:hanging="360"/>
      </w:pPr>
      <w:rPr>
        <w:rFonts w:ascii="Wingdings" w:hAnsi="Wingdings" w:hint="default"/>
      </w:rPr>
    </w:lvl>
    <w:lvl w:ilvl="6" w:tplc="1E34F930" w:tentative="1">
      <w:start w:val="1"/>
      <w:numFmt w:val="bullet"/>
      <w:lvlText w:val=""/>
      <w:lvlJc w:val="left"/>
      <w:pPr>
        <w:tabs>
          <w:tab w:val="num" w:pos="5040"/>
        </w:tabs>
        <w:ind w:left="5040" w:hanging="360"/>
      </w:pPr>
      <w:rPr>
        <w:rFonts w:ascii="Wingdings" w:hAnsi="Wingdings" w:hint="default"/>
      </w:rPr>
    </w:lvl>
    <w:lvl w:ilvl="7" w:tplc="51E2A7F2" w:tentative="1">
      <w:start w:val="1"/>
      <w:numFmt w:val="bullet"/>
      <w:lvlText w:val=""/>
      <w:lvlJc w:val="left"/>
      <w:pPr>
        <w:tabs>
          <w:tab w:val="num" w:pos="5760"/>
        </w:tabs>
        <w:ind w:left="5760" w:hanging="360"/>
      </w:pPr>
      <w:rPr>
        <w:rFonts w:ascii="Wingdings" w:hAnsi="Wingdings" w:hint="default"/>
      </w:rPr>
    </w:lvl>
    <w:lvl w:ilvl="8" w:tplc="61C421BC" w:tentative="1">
      <w:start w:val="1"/>
      <w:numFmt w:val="bullet"/>
      <w:lvlText w:val=""/>
      <w:lvlJc w:val="left"/>
      <w:pPr>
        <w:tabs>
          <w:tab w:val="num" w:pos="6480"/>
        </w:tabs>
        <w:ind w:left="6480" w:hanging="360"/>
      </w:pPr>
      <w:rPr>
        <w:rFonts w:ascii="Wingdings" w:hAnsi="Wingdings" w:hint="default"/>
      </w:rPr>
    </w:lvl>
  </w:abstractNum>
  <w:abstractNum w:abstractNumId="10">
    <w:nsid w:val="56A71615"/>
    <w:multiLevelType w:val="hybridMultilevel"/>
    <w:tmpl w:val="CFDA53FE"/>
    <w:lvl w:ilvl="0" w:tplc="A87ABF74">
      <w:start w:val="1"/>
      <w:numFmt w:val="bullet"/>
      <w:lvlText w:val=""/>
      <w:lvlJc w:val="left"/>
      <w:pPr>
        <w:tabs>
          <w:tab w:val="num" w:pos="720"/>
        </w:tabs>
        <w:ind w:left="720" w:hanging="360"/>
      </w:pPr>
      <w:rPr>
        <w:rFonts w:ascii="Wingdings" w:hAnsi="Wingdings" w:hint="default"/>
      </w:rPr>
    </w:lvl>
    <w:lvl w:ilvl="1" w:tplc="5EFEADD0" w:tentative="1">
      <w:start w:val="1"/>
      <w:numFmt w:val="bullet"/>
      <w:lvlText w:val=""/>
      <w:lvlJc w:val="left"/>
      <w:pPr>
        <w:tabs>
          <w:tab w:val="num" w:pos="1440"/>
        </w:tabs>
        <w:ind w:left="1440" w:hanging="360"/>
      </w:pPr>
      <w:rPr>
        <w:rFonts w:ascii="Wingdings" w:hAnsi="Wingdings" w:hint="default"/>
      </w:rPr>
    </w:lvl>
    <w:lvl w:ilvl="2" w:tplc="AE50BB96" w:tentative="1">
      <w:start w:val="1"/>
      <w:numFmt w:val="bullet"/>
      <w:lvlText w:val=""/>
      <w:lvlJc w:val="left"/>
      <w:pPr>
        <w:tabs>
          <w:tab w:val="num" w:pos="2160"/>
        </w:tabs>
        <w:ind w:left="2160" w:hanging="360"/>
      </w:pPr>
      <w:rPr>
        <w:rFonts w:ascii="Wingdings" w:hAnsi="Wingdings" w:hint="default"/>
      </w:rPr>
    </w:lvl>
    <w:lvl w:ilvl="3" w:tplc="10C0F752" w:tentative="1">
      <w:start w:val="1"/>
      <w:numFmt w:val="bullet"/>
      <w:lvlText w:val=""/>
      <w:lvlJc w:val="left"/>
      <w:pPr>
        <w:tabs>
          <w:tab w:val="num" w:pos="2880"/>
        </w:tabs>
        <w:ind w:left="2880" w:hanging="360"/>
      </w:pPr>
      <w:rPr>
        <w:rFonts w:ascii="Wingdings" w:hAnsi="Wingdings" w:hint="default"/>
      </w:rPr>
    </w:lvl>
    <w:lvl w:ilvl="4" w:tplc="BCD480CC" w:tentative="1">
      <w:start w:val="1"/>
      <w:numFmt w:val="bullet"/>
      <w:lvlText w:val=""/>
      <w:lvlJc w:val="left"/>
      <w:pPr>
        <w:tabs>
          <w:tab w:val="num" w:pos="3600"/>
        </w:tabs>
        <w:ind w:left="3600" w:hanging="360"/>
      </w:pPr>
      <w:rPr>
        <w:rFonts w:ascii="Wingdings" w:hAnsi="Wingdings" w:hint="default"/>
      </w:rPr>
    </w:lvl>
    <w:lvl w:ilvl="5" w:tplc="7CE4D8A8" w:tentative="1">
      <w:start w:val="1"/>
      <w:numFmt w:val="bullet"/>
      <w:lvlText w:val=""/>
      <w:lvlJc w:val="left"/>
      <w:pPr>
        <w:tabs>
          <w:tab w:val="num" w:pos="4320"/>
        </w:tabs>
        <w:ind w:left="4320" w:hanging="360"/>
      </w:pPr>
      <w:rPr>
        <w:rFonts w:ascii="Wingdings" w:hAnsi="Wingdings" w:hint="default"/>
      </w:rPr>
    </w:lvl>
    <w:lvl w:ilvl="6" w:tplc="48AEC976" w:tentative="1">
      <w:start w:val="1"/>
      <w:numFmt w:val="bullet"/>
      <w:lvlText w:val=""/>
      <w:lvlJc w:val="left"/>
      <w:pPr>
        <w:tabs>
          <w:tab w:val="num" w:pos="5040"/>
        </w:tabs>
        <w:ind w:left="5040" w:hanging="360"/>
      </w:pPr>
      <w:rPr>
        <w:rFonts w:ascii="Wingdings" w:hAnsi="Wingdings" w:hint="default"/>
      </w:rPr>
    </w:lvl>
    <w:lvl w:ilvl="7" w:tplc="3E3E44E8" w:tentative="1">
      <w:start w:val="1"/>
      <w:numFmt w:val="bullet"/>
      <w:lvlText w:val=""/>
      <w:lvlJc w:val="left"/>
      <w:pPr>
        <w:tabs>
          <w:tab w:val="num" w:pos="5760"/>
        </w:tabs>
        <w:ind w:left="5760" w:hanging="360"/>
      </w:pPr>
      <w:rPr>
        <w:rFonts w:ascii="Wingdings" w:hAnsi="Wingdings" w:hint="default"/>
      </w:rPr>
    </w:lvl>
    <w:lvl w:ilvl="8" w:tplc="FD08C1EC" w:tentative="1">
      <w:start w:val="1"/>
      <w:numFmt w:val="bullet"/>
      <w:lvlText w:val=""/>
      <w:lvlJc w:val="left"/>
      <w:pPr>
        <w:tabs>
          <w:tab w:val="num" w:pos="6480"/>
        </w:tabs>
        <w:ind w:left="6480" w:hanging="360"/>
      </w:pPr>
      <w:rPr>
        <w:rFonts w:ascii="Wingdings" w:hAnsi="Wingdings" w:hint="default"/>
      </w:rPr>
    </w:lvl>
  </w:abstractNum>
  <w:abstractNum w:abstractNumId="11">
    <w:nsid w:val="67A9189C"/>
    <w:multiLevelType w:val="hybridMultilevel"/>
    <w:tmpl w:val="EE5CBDCC"/>
    <w:lvl w:ilvl="0" w:tplc="5540D892">
      <w:start w:val="6"/>
      <w:numFmt w:val="decimal"/>
      <w:lvlText w:val="%1)"/>
      <w:lvlJc w:val="left"/>
      <w:pPr>
        <w:ind w:left="720" w:hanging="360"/>
      </w:pPr>
      <w:rPr>
        <w:rFonts w:hint="default"/>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82028E"/>
    <w:multiLevelType w:val="hybridMultilevel"/>
    <w:tmpl w:val="3C32D68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697A40D1"/>
    <w:multiLevelType w:val="hybridMultilevel"/>
    <w:tmpl w:val="B39025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6EB1518B"/>
    <w:multiLevelType w:val="hybridMultilevel"/>
    <w:tmpl w:val="2B6C48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81299D"/>
    <w:multiLevelType w:val="hybridMultilevel"/>
    <w:tmpl w:val="334407DA"/>
    <w:lvl w:ilvl="0" w:tplc="5540D892">
      <w:start w:val="6"/>
      <w:numFmt w:val="decimal"/>
      <w:lvlText w:val="%1)"/>
      <w:lvlJc w:val="left"/>
      <w:pPr>
        <w:ind w:left="750" w:hanging="360"/>
      </w:pPr>
      <w:rPr>
        <w:rFonts w:hint="default"/>
        <w:i/>
        <w:u w:val="none"/>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6">
    <w:nsid w:val="72A20E2E"/>
    <w:multiLevelType w:val="hybridMultilevel"/>
    <w:tmpl w:val="5B625B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5A7785"/>
    <w:multiLevelType w:val="hybridMultilevel"/>
    <w:tmpl w:val="D2F22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1D4C58"/>
    <w:multiLevelType w:val="hybridMultilevel"/>
    <w:tmpl w:val="FE06B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197F4B"/>
    <w:multiLevelType w:val="hybridMultilevel"/>
    <w:tmpl w:val="51C8F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F52416C"/>
    <w:multiLevelType w:val="hybridMultilevel"/>
    <w:tmpl w:val="2B142DF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20"/>
  </w:num>
  <w:num w:numId="4">
    <w:abstractNumId w:val="13"/>
  </w:num>
  <w:num w:numId="5">
    <w:abstractNumId w:val="2"/>
  </w:num>
  <w:num w:numId="6">
    <w:abstractNumId w:val="12"/>
  </w:num>
  <w:num w:numId="7">
    <w:abstractNumId w:val="9"/>
  </w:num>
  <w:num w:numId="8">
    <w:abstractNumId w:val="10"/>
  </w:num>
  <w:num w:numId="9">
    <w:abstractNumId w:val="3"/>
  </w:num>
  <w:num w:numId="10">
    <w:abstractNumId w:val="6"/>
  </w:num>
  <w:num w:numId="11">
    <w:abstractNumId w:val="7"/>
  </w:num>
  <w:num w:numId="12">
    <w:abstractNumId w:val="18"/>
  </w:num>
  <w:num w:numId="13">
    <w:abstractNumId w:val="19"/>
  </w:num>
  <w:num w:numId="14">
    <w:abstractNumId w:val="17"/>
  </w:num>
  <w:num w:numId="15">
    <w:abstractNumId w:val="1"/>
  </w:num>
  <w:num w:numId="16">
    <w:abstractNumId w:val="16"/>
  </w:num>
  <w:num w:numId="17">
    <w:abstractNumId w:val="14"/>
  </w:num>
  <w:num w:numId="18">
    <w:abstractNumId w:val="11"/>
  </w:num>
  <w:num w:numId="19">
    <w:abstractNumId w:val="15"/>
  </w:num>
  <w:num w:numId="20">
    <w:abstractNumId w:val="8"/>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FC57C1"/>
    <w:rsid w:val="00050A8D"/>
    <w:rsid w:val="000A5614"/>
    <w:rsid w:val="000E71FC"/>
    <w:rsid w:val="00124A65"/>
    <w:rsid w:val="00171CB9"/>
    <w:rsid w:val="0020373E"/>
    <w:rsid w:val="002060E8"/>
    <w:rsid w:val="00295908"/>
    <w:rsid w:val="002B5E2C"/>
    <w:rsid w:val="003028A6"/>
    <w:rsid w:val="00361D73"/>
    <w:rsid w:val="003C42F2"/>
    <w:rsid w:val="003C5B40"/>
    <w:rsid w:val="003D1A55"/>
    <w:rsid w:val="003D5FBC"/>
    <w:rsid w:val="0040002D"/>
    <w:rsid w:val="00420F1C"/>
    <w:rsid w:val="00440A23"/>
    <w:rsid w:val="00446422"/>
    <w:rsid w:val="00450133"/>
    <w:rsid w:val="004541C6"/>
    <w:rsid w:val="004626D9"/>
    <w:rsid w:val="00464CEC"/>
    <w:rsid w:val="00487381"/>
    <w:rsid w:val="004A336A"/>
    <w:rsid w:val="00596577"/>
    <w:rsid w:val="005E567D"/>
    <w:rsid w:val="005E58EA"/>
    <w:rsid w:val="00643BDA"/>
    <w:rsid w:val="00687EF9"/>
    <w:rsid w:val="006C2A36"/>
    <w:rsid w:val="006D3EB2"/>
    <w:rsid w:val="007369D6"/>
    <w:rsid w:val="00750E33"/>
    <w:rsid w:val="007635B0"/>
    <w:rsid w:val="007A15E4"/>
    <w:rsid w:val="007B3A7D"/>
    <w:rsid w:val="008D5007"/>
    <w:rsid w:val="009240F9"/>
    <w:rsid w:val="00973C84"/>
    <w:rsid w:val="009B2CEE"/>
    <w:rsid w:val="009D44CF"/>
    <w:rsid w:val="009E4014"/>
    <w:rsid w:val="00A37130"/>
    <w:rsid w:val="00A40A8F"/>
    <w:rsid w:val="00A44631"/>
    <w:rsid w:val="00AF5EE4"/>
    <w:rsid w:val="00B05C16"/>
    <w:rsid w:val="00B25224"/>
    <w:rsid w:val="00B60AAB"/>
    <w:rsid w:val="00BB638C"/>
    <w:rsid w:val="00BC3C4C"/>
    <w:rsid w:val="00CA599E"/>
    <w:rsid w:val="00CA6BEC"/>
    <w:rsid w:val="00CD2853"/>
    <w:rsid w:val="00D020CB"/>
    <w:rsid w:val="00D80D61"/>
    <w:rsid w:val="00DD1201"/>
    <w:rsid w:val="00E76B98"/>
    <w:rsid w:val="00ED3CE7"/>
    <w:rsid w:val="00EE5B93"/>
    <w:rsid w:val="00F012A7"/>
    <w:rsid w:val="00FC57C1"/>
    <w:rsid w:val="00FE107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3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3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3C84"/>
    <w:rPr>
      <w:rFonts w:ascii="Tahoma" w:hAnsi="Tahoma" w:cs="Tahoma"/>
      <w:sz w:val="16"/>
      <w:szCs w:val="16"/>
    </w:rPr>
  </w:style>
  <w:style w:type="paragraph" w:styleId="Paragraphedeliste">
    <w:name w:val="List Paragraph"/>
    <w:basedOn w:val="Normal"/>
    <w:uiPriority w:val="34"/>
    <w:qFormat/>
    <w:rsid w:val="004626D9"/>
    <w:pPr>
      <w:ind w:left="720"/>
      <w:contextualSpacing/>
    </w:pPr>
  </w:style>
  <w:style w:type="paragraph" w:styleId="Sansinterligne">
    <w:name w:val="No Spacing"/>
    <w:uiPriority w:val="1"/>
    <w:qFormat/>
    <w:rsid w:val="004626D9"/>
    <w:pPr>
      <w:spacing w:after="0" w:line="240" w:lineRule="auto"/>
    </w:pPr>
  </w:style>
</w:styles>
</file>

<file path=word/webSettings.xml><?xml version="1.0" encoding="utf-8"?>
<w:webSettings xmlns:r="http://schemas.openxmlformats.org/officeDocument/2006/relationships" xmlns:w="http://schemas.openxmlformats.org/wordprocessingml/2006/main">
  <w:divs>
    <w:div w:id="192309309">
      <w:bodyDiv w:val="1"/>
      <w:marLeft w:val="0"/>
      <w:marRight w:val="0"/>
      <w:marTop w:val="0"/>
      <w:marBottom w:val="0"/>
      <w:divBdr>
        <w:top w:val="none" w:sz="0" w:space="0" w:color="auto"/>
        <w:left w:val="none" w:sz="0" w:space="0" w:color="auto"/>
        <w:bottom w:val="none" w:sz="0" w:space="0" w:color="auto"/>
        <w:right w:val="none" w:sz="0" w:space="0" w:color="auto"/>
      </w:divBdr>
      <w:divsChild>
        <w:div w:id="1515459465">
          <w:marLeft w:val="547"/>
          <w:marRight w:val="0"/>
          <w:marTop w:val="154"/>
          <w:marBottom w:val="0"/>
          <w:divBdr>
            <w:top w:val="none" w:sz="0" w:space="0" w:color="auto"/>
            <w:left w:val="none" w:sz="0" w:space="0" w:color="auto"/>
            <w:bottom w:val="none" w:sz="0" w:space="0" w:color="auto"/>
            <w:right w:val="none" w:sz="0" w:space="0" w:color="auto"/>
          </w:divBdr>
        </w:div>
      </w:divsChild>
    </w:div>
    <w:div w:id="426315721">
      <w:bodyDiv w:val="1"/>
      <w:marLeft w:val="0"/>
      <w:marRight w:val="0"/>
      <w:marTop w:val="0"/>
      <w:marBottom w:val="0"/>
      <w:divBdr>
        <w:top w:val="none" w:sz="0" w:space="0" w:color="auto"/>
        <w:left w:val="none" w:sz="0" w:space="0" w:color="auto"/>
        <w:bottom w:val="none" w:sz="0" w:space="0" w:color="auto"/>
        <w:right w:val="none" w:sz="0" w:space="0" w:color="auto"/>
      </w:divBdr>
    </w:div>
    <w:div w:id="593250630">
      <w:bodyDiv w:val="1"/>
      <w:marLeft w:val="0"/>
      <w:marRight w:val="0"/>
      <w:marTop w:val="0"/>
      <w:marBottom w:val="0"/>
      <w:divBdr>
        <w:top w:val="none" w:sz="0" w:space="0" w:color="auto"/>
        <w:left w:val="none" w:sz="0" w:space="0" w:color="auto"/>
        <w:bottom w:val="none" w:sz="0" w:space="0" w:color="auto"/>
        <w:right w:val="none" w:sz="0" w:space="0" w:color="auto"/>
      </w:divBdr>
    </w:div>
    <w:div w:id="8380773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791">
          <w:marLeft w:val="547"/>
          <w:marRight w:val="0"/>
          <w:marTop w:val="154"/>
          <w:marBottom w:val="0"/>
          <w:divBdr>
            <w:top w:val="none" w:sz="0" w:space="0" w:color="auto"/>
            <w:left w:val="none" w:sz="0" w:space="0" w:color="auto"/>
            <w:bottom w:val="none" w:sz="0" w:space="0" w:color="auto"/>
            <w:right w:val="none" w:sz="0" w:space="0" w:color="auto"/>
          </w:divBdr>
        </w:div>
      </w:divsChild>
    </w:div>
    <w:div w:id="966275377">
      <w:bodyDiv w:val="1"/>
      <w:marLeft w:val="0"/>
      <w:marRight w:val="0"/>
      <w:marTop w:val="0"/>
      <w:marBottom w:val="0"/>
      <w:divBdr>
        <w:top w:val="none" w:sz="0" w:space="0" w:color="auto"/>
        <w:left w:val="none" w:sz="0" w:space="0" w:color="auto"/>
        <w:bottom w:val="none" w:sz="0" w:space="0" w:color="auto"/>
        <w:right w:val="none" w:sz="0" w:space="0" w:color="auto"/>
      </w:divBdr>
    </w:div>
    <w:div w:id="1110049976">
      <w:bodyDiv w:val="1"/>
      <w:marLeft w:val="0"/>
      <w:marRight w:val="0"/>
      <w:marTop w:val="0"/>
      <w:marBottom w:val="0"/>
      <w:divBdr>
        <w:top w:val="none" w:sz="0" w:space="0" w:color="auto"/>
        <w:left w:val="none" w:sz="0" w:space="0" w:color="auto"/>
        <w:bottom w:val="none" w:sz="0" w:space="0" w:color="auto"/>
        <w:right w:val="none" w:sz="0" w:space="0" w:color="auto"/>
      </w:divBdr>
      <w:divsChild>
        <w:div w:id="221061140">
          <w:marLeft w:val="547"/>
          <w:marRight w:val="0"/>
          <w:marTop w:val="154"/>
          <w:marBottom w:val="0"/>
          <w:divBdr>
            <w:top w:val="none" w:sz="0" w:space="0" w:color="auto"/>
            <w:left w:val="none" w:sz="0" w:space="0" w:color="auto"/>
            <w:bottom w:val="none" w:sz="0" w:space="0" w:color="auto"/>
            <w:right w:val="none" w:sz="0" w:space="0" w:color="auto"/>
          </w:divBdr>
        </w:div>
      </w:divsChild>
    </w:div>
    <w:div w:id="1858351577">
      <w:bodyDiv w:val="1"/>
      <w:marLeft w:val="0"/>
      <w:marRight w:val="0"/>
      <w:marTop w:val="0"/>
      <w:marBottom w:val="0"/>
      <w:divBdr>
        <w:top w:val="none" w:sz="0" w:space="0" w:color="auto"/>
        <w:left w:val="none" w:sz="0" w:space="0" w:color="auto"/>
        <w:bottom w:val="none" w:sz="0" w:space="0" w:color="auto"/>
        <w:right w:val="none" w:sz="0" w:space="0" w:color="auto"/>
      </w:divBdr>
      <w:divsChild>
        <w:div w:id="151861676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F928B-3757-4749-A302-5CB8F3395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657</Words>
  <Characters>3617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4266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sergent</dc:creator>
  <cp:keywords/>
  <dc:description/>
  <cp:lastModifiedBy>ms</cp:lastModifiedBy>
  <cp:revision>10</cp:revision>
  <cp:lastPrinted>2009-10-22T12:55:00Z</cp:lastPrinted>
  <dcterms:created xsi:type="dcterms:W3CDTF">2009-06-30T15:38:00Z</dcterms:created>
  <dcterms:modified xsi:type="dcterms:W3CDTF">2012-06-06T12:17:00Z</dcterms:modified>
</cp:coreProperties>
</file>