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21" w:rsidRPr="00054921" w:rsidRDefault="00054921" w:rsidP="00054921">
      <w:pPr>
        <w:spacing w:before="100" w:beforeAutospacing="1" w:after="100" w:afterAutospacing="1" w:line="240" w:lineRule="auto"/>
        <w:outlineLvl w:val="3"/>
        <w:rPr>
          <w:rFonts w:ascii="Arial" w:eastAsia="Times New Roman" w:hAnsi="Arial" w:cs="Arial"/>
          <w:b/>
          <w:bCs/>
          <w:sz w:val="28"/>
          <w:szCs w:val="28"/>
          <w:lang w:eastAsia="fr-FR"/>
        </w:rPr>
      </w:pPr>
      <w:r w:rsidRPr="00054921">
        <w:rPr>
          <w:rFonts w:ascii="Arial" w:eastAsia="Times New Roman" w:hAnsi="Arial" w:cs="Arial"/>
          <w:b/>
          <w:bCs/>
          <w:sz w:val="28"/>
          <w:szCs w:val="28"/>
          <w:lang w:eastAsia="fr-FR"/>
        </w:rPr>
        <w:t>SA "classique"</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La SA ou société anonyme est une société de capitaux : elle rassemble des personnes qui peuvent ne pas se connaître et dont la participation est fondée sur les capitaux qu'ils ont investis dans l'entreprise. Elle concerne donc les projets importants.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les SA peuvent également être dirigées par un conseil de surveillance et un directoire.</w:t>
      </w:r>
    </w:p>
    <w:p w:rsidR="00054921" w:rsidRPr="00054921" w:rsidRDefault="00054921" w:rsidP="00054921">
      <w:pPr>
        <w:spacing w:before="100" w:beforeAutospacing="1" w:after="100" w:afterAutospacing="1" w:line="240" w:lineRule="auto"/>
        <w:rPr>
          <w:rFonts w:ascii="Arial" w:eastAsia="Times New Roman" w:hAnsi="Arial" w:cs="Arial"/>
          <w:u w:val="single"/>
          <w:lang w:eastAsia="fr-FR"/>
        </w:rPr>
      </w:pPr>
      <w:r w:rsidRPr="00054921">
        <w:rPr>
          <w:rFonts w:ascii="Arial" w:eastAsia="Times New Roman" w:hAnsi="Arial" w:cs="Arial"/>
          <w:b/>
          <w:bCs/>
          <w:lang w:eastAsia="fr-FR"/>
        </w:rPr>
        <w:br/>
      </w:r>
      <w:bookmarkStart w:id="0" w:name="toc0"/>
      <w:bookmarkEnd w:id="0"/>
      <w:r w:rsidRPr="00054921">
        <w:rPr>
          <w:rFonts w:ascii="Arial" w:eastAsia="Times New Roman" w:hAnsi="Arial" w:cs="Arial"/>
          <w:b/>
          <w:bCs/>
          <w:noProof/>
          <w:u w:val="single"/>
          <w:lang w:eastAsia="fr-FR"/>
        </w:rPr>
        <w:t>1 :</w:t>
      </w:r>
      <w:r w:rsidRPr="00054921">
        <w:rPr>
          <w:rFonts w:ascii="Arial" w:eastAsia="Times New Roman" w:hAnsi="Arial" w:cs="Arial"/>
          <w:b/>
          <w:bCs/>
          <w:u w:val="single"/>
          <w:lang w:eastAsia="fr-FR"/>
        </w:rPr>
        <w:t xml:space="preserve">  </w:t>
      </w:r>
      <w:r w:rsidRPr="00054921">
        <w:rPr>
          <w:rFonts w:ascii="Arial" w:eastAsia="Times New Roman" w:hAnsi="Arial" w:cs="Arial"/>
          <w:b/>
          <w:bCs/>
          <w:color w:val="000000"/>
          <w:u w:val="single"/>
          <w:lang w:eastAsia="fr-FR"/>
        </w:rPr>
        <w:t>Associés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b/>
          <w:bCs/>
          <w:lang w:eastAsia="fr-FR"/>
        </w:rPr>
        <w:t>7 actionnaires au minimum</w:t>
      </w:r>
      <w:r w:rsidRPr="00054921">
        <w:rPr>
          <w:rFonts w:ascii="Arial" w:eastAsia="Times New Roman" w:hAnsi="Arial" w:cs="Arial"/>
          <w:lang w:eastAsia="fr-FR"/>
        </w:rPr>
        <w:t>. Il n'existe pas de maximum. Il peut s'agir de personnes physiques ou morales.</w:t>
      </w:r>
    </w:p>
    <w:p w:rsidR="00054921" w:rsidRPr="00054921" w:rsidRDefault="00054921" w:rsidP="00054921">
      <w:pPr>
        <w:spacing w:before="100" w:beforeAutospacing="1" w:after="100" w:afterAutospacing="1" w:line="240" w:lineRule="auto"/>
        <w:rPr>
          <w:rFonts w:ascii="Arial" w:eastAsia="Times New Roman" w:hAnsi="Arial" w:cs="Arial"/>
          <w:u w:val="single"/>
          <w:lang w:eastAsia="fr-FR"/>
        </w:rPr>
      </w:pPr>
      <w:r w:rsidRPr="00054921">
        <w:rPr>
          <w:rFonts w:ascii="Arial" w:eastAsia="Times New Roman" w:hAnsi="Arial" w:cs="Arial"/>
          <w:b/>
          <w:bCs/>
          <w:lang w:eastAsia="fr-FR"/>
        </w:rPr>
        <w:br/>
      </w:r>
      <w:bookmarkStart w:id="1" w:name="toc1"/>
      <w:bookmarkEnd w:id="1"/>
      <w:r w:rsidRPr="00054921">
        <w:rPr>
          <w:rFonts w:ascii="Arial" w:eastAsia="Times New Roman" w:hAnsi="Arial" w:cs="Arial"/>
          <w:b/>
          <w:bCs/>
          <w:noProof/>
          <w:color w:val="000000"/>
          <w:u w:val="single"/>
          <w:lang w:eastAsia="fr-FR"/>
        </w:rPr>
        <w:t>2 :</w:t>
      </w:r>
      <w:r w:rsidRPr="00054921">
        <w:rPr>
          <w:rFonts w:ascii="Arial" w:eastAsia="Times New Roman" w:hAnsi="Arial" w:cs="Arial"/>
          <w:b/>
          <w:bCs/>
          <w:color w:val="000000"/>
          <w:u w:val="single"/>
          <w:lang w:eastAsia="fr-FR"/>
        </w:rPr>
        <w:t>  Engagement financier</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 xml:space="preserve">Un capital minimum de </w:t>
      </w:r>
      <w:r w:rsidRPr="00054921">
        <w:rPr>
          <w:rFonts w:ascii="Arial" w:eastAsia="Times New Roman" w:hAnsi="Arial" w:cs="Arial"/>
          <w:b/>
          <w:bCs/>
          <w:lang w:eastAsia="fr-FR"/>
        </w:rPr>
        <w:t>37 000 euros</w:t>
      </w:r>
      <w:r w:rsidRPr="00054921">
        <w:rPr>
          <w:rFonts w:ascii="Arial" w:eastAsia="Times New Roman" w:hAnsi="Arial" w:cs="Arial"/>
          <w:lang w:eastAsia="fr-FR"/>
        </w:rPr>
        <w:t xml:space="preserve"> doit être constitué.</w:t>
      </w:r>
      <w:r>
        <w:rPr>
          <w:rFonts w:ascii="Arial" w:eastAsia="Times New Roman" w:hAnsi="Arial" w:cs="Arial"/>
          <w:lang w:eastAsia="fr-FR"/>
        </w:rPr>
        <w:t xml:space="preserve"> (225 000€ si appel public à l’épargne)</w:t>
      </w:r>
      <w:r w:rsidRPr="00054921">
        <w:rPr>
          <w:rFonts w:ascii="Arial" w:eastAsia="Times New Roman" w:hAnsi="Arial" w:cs="Arial"/>
          <w:lang w:eastAsia="fr-FR"/>
        </w:rPr>
        <w:br/>
        <w:t>Les apports en espèces doivent être libérés pour moitié au moins à la constitution de la société, le solde devant être versé dans les 5 ans (soit un montant libéré au jour de la création de 18 500 euros minimum).</w:t>
      </w:r>
      <w:r w:rsidRPr="00054921">
        <w:rPr>
          <w:rFonts w:ascii="Arial" w:eastAsia="Times New Roman" w:hAnsi="Arial" w:cs="Arial"/>
          <w:lang w:eastAsia="fr-FR"/>
        </w:rPr>
        <w:br/>
        <w:t>Les apports en industrie sont exclus.</w:t>
      </w:r>
    </w:p>
    <w:p w:rsidR="00054921" w:rsidRPr="00054921" w:rsidRDefault="00054921" w:rsidP="00054921">
      <w:pPr>
        <w:spacing w:before="100" w:beforeAutospacing="1" w:after="100" w:afterAutospacing="1" w:line="240" w:lineRule="auto"/>
        <w:rPr>
          <w:rFonts w:ascii="Arial" w:eastAsia="Times New Roman" w:hAnsi="Arial" w:cs="Arial"/>
          <w:u w:val="single"/>
          <w:lang w:eastAsia="fr-FR"/>
        </w:rPr>
      </w:pPr>
      <w:r w:rsidRPr="00054921">
        <w:rPr>
          <w:rFonts w:ascii="Arial" w:eastAsia="Times New Roman" w:hAnsi="Arial" w:cs="Arial"/>
          <w:b/>
          <w:bCs/>
          <w:lang w:eastAsia="fr-FR"/>
        </w:rPr>
        <w:br/>
      </w:r>
      <w:bookmarkStart w:id="2" w:name="toc2"/>
      <w:bookmarkEnd w:id="2"/>
      <w:r w:rsidRPr="00054921">
        <w:rPr>
          <w:rFonts w:ascii="Arial" w:eastAsia="Times New Roman" w:hAnsi="Arial" w:cs="Arial"/>
          <w:b/>
          <w:bCs/>
          <w:noProof/>
          <w:u w:val="single"/>
          <w:lang w:eastAsia="fr-FR"/>
        </w:rPr>
        <w:t>3 :</w:t>
      </w:r>
      <w:r w:rsidRPr="00054921">
        <w:rPr>
          <w:rFonts w:ascii="Arial" w:eastAsia="Times New Roman" w:hAnsi="Arial" w:cs="Arial"/>
          <w:b/>
          <w:bCs/>
          <w:u w:val="single"/>
          <w:lang w:eastAsia="fr-FR"/>
        </w:rPr>
        <w:t xml:space="preserve">  </w:t>
      </w:r>
      <w:r w:rsidRPr="00054921">
        <w:rPr>
          <w:rFonts w:ascii="Arial" w:eastAsia="Times New Roman" w:hAnsi="Arial" w:cs="Arial"/>
          <w:b/>
          <w:bCs/>
          <w:color w:val="000000"/>
          <w:u w:val="single"/>
          <w:lang w:eastAsia="fr-FR"/>
        </w:rPr>
        <w:t>Responsabilité</w:t>
      </w:r>
    </w:p>
    <w:p w:rsidR="00054921" w:rsidRPr="00054921" w:rsidRDefault="00054921" w:rsidP="00054921">
      <w:pPr>
        <w:pStyle w:val="Paragraphedeliste"/>
        <w:numPr>
          <w:ilvl w:val="0"/>
          <w:numId w:val="2"/>
        </w:num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 xml:space="preserve">  </w:t>
      </w:r>
      <w:r w:rsidRPr="00054921">
        <w:rPr>
          <w:rFonts w:ascii="Arial" w:eastAsia="Times New Roman" w:hAnsi="Arial" w:cs="Arial"/>
          <w:b/>
          <w:bCs/>
          <w:lang w:eastAsia="fr-FR"/>
        </w:rPr>
        <w:t>Actionnaires</w:t>
      </w:r>
      <w:r w:rsidRPr="00054921">
        <w:rPr>
          <w:rFonts w:ascii="Arial" w:eastAsia="Times New Roman" w:hAnsi="Arial" w:cs="Arial"/>
          <w:lang w:eastAsia="fr-FR"/>
        </w:rPr>
        <w:t xml:space="preserve"> : responsabilité limitée aux apports.</w:t>
      </w:r>
    </w:p>
    <w:p w:rsidR="00054921" w:rsidRDefault="00054921" w:rsidP="00054921">
      <w:pPr>
        <w:pStyle w:val="Paragraphedeliste"/>
        <w:numPr>
          <w:ilvl w:val="0"/>
          <w:numId w:val="2"/>
        </w:num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 xml:space="preserve">  </w:t>
      </w:r>
      <w:r w:rsidRPr="00054921">
        <w:rPr>
          <w:rFonts w:ascii="Arial" w:eastAsia="Times New Roman" w:hAnsi="Arial" w:cs="Arial"/>
          <w:b/>
          <w:bCs/>
          <w:lang w:eastAsia="fr-FR"/>
        </w:rPr>
        <w:t>Dirigeants</w:t>
      </w:r>
      <w:r w:rsidRPr="00054921">
        <w:rPr>
          <w:rFonts w:ascii="Arial" w:eastAsia="Times New Roman" w:hAnsi="Arial" w:cs="Arial"/>
          <w:lang w:eastAsia="fr-FR"/>
        </w:rPr>
        <w:t xml:space="preserve"> : leur responsabilité civile peut être engagée en cas de fautes </w:t>
      </w:r>
      <w:r>
        <w:rPr>
          <w:rFonts w:ascii="Arial" w:eastAsia="Times New Roman" w:hAnsi="Arial" w:cs="Arial"/>
          <w:lang w:eastAsia="fr-FR"/>
        </w:rPr>
        <w:t>de gestion.</w:t>
      </w:r>
      <w:r w:rsidR="00C02E2F">
        <w:rPr>
          <w:rFonts w:ascii="Arial" w:eastAsia="Times New Roman" w:hAnsi="Arial" w:cs="Arial"/>
          <w:lang w:eastAsia="fr-FR"/>
        </w:rPr>
        <w:t xml:space="preserve"> </w:t>
      </w:r>
      <w:r w:rsidRPr="00054921">
        <w:rPr>
          <w:rFonts w:ascii="Arial" w:eastAsia="Times New Roman" w:hAnsi="Arial" w:cs="Arial"/>
          <w:lang w:eastAsia="fr-FR"/>
        </w:rPr>
        <w:t>Ils sont également responsables pénalement.</w:t>
      </w:r>
      <w:bookmarkStart w:id="3" w:name="toc3"/>
      <w:bookmarkEnd w:id="3"/>
    </w:p>
    <w:p w:rsidR="00054921" w:rsidRPr="00054921" w:rsidRDefault="00054921" w:rsidP="00054921">
      <w:pPr>
        <w:spacing w:before="100" w:beforeAutospacing="1" w:after="100" w:afterAutospacing="1" w:line="240" w:lineRule="auto"/>
        <w:rPr>
          <w:rFonts w:ascii="Arial" w:eastAsia="Times New Roman" w:hAnsi="Arial" w:cs="Arial"/>
          <w:lang w:eastAsia="fr-FR"/>
        </w:rPr>
      </w:pPr>
    </w:p>
    <w:p w:rsidR="00054921" w:rsidRPr="00054921" w:rsidRDefault="00054921" w:rsidP="00054921">
      <w:pPr>
        <w:spacing w:before="100" w:beforeAutospacing="1" w:after="100" w:afterAutospacing="1" w:line="240" w:lineRule="auto"/>
        <w:rPr>
          <w:rFonts w:ascii="Arial" w:eastAsia="Times New Roman" w:hAnsi="Arial" w:cs="Arial"/>
          <w:u w:val="single"/>
          <w:lang w:eastAsia="fr-FR"/>
        </w:rPr>
      </w:pPr>
      <w:r w:rsidRPr="00054921">
        <w:rPr>
          <w:rFonts w:ascii="Arial" w:hAnsi="Arial" w:cs="Arial"/>
          <w:b/>
          <w:noProof/>
          <w:u w:val="single"/>
          <w:lang w:eastAsia="fr-FR"/>
        </w:rPr>
        <w:t>4 :</w:t>
      </w:r>
      <w:r w:rsidRPr="00054921">
        <w:rPr>
          <w:noProof/>
          <w:u w:val="single"/>
          <w:lang w:eastAsia="fr-FR"/>
        </w:rPr>
        <w:t xml:space="preserve"> </w:t>
      </w:r>
      <w:r w:rsidRPr="00054921">
        <w:rPr>
          <w:rFonts w:ascii="Arial" w:eastAsia="Times New Roman" w:hAnsi="Arial" w:cs="Arial"/>
          <w:b/>
          <w:bCs/>
          <w:color w:val="000000"/>
          <w:u w:val="single"/>
          <w:lang w:eastAsia="fr-FR"/>
        </w:rPr>
        <w:t>Fonctionnement</w:t>
      </w:r>
    </w:p>
    <w:p w:rsidR="00054921" w:rsidRDefault="00054921" w:rsidP="00054921">
      <w:pPr>
        <w:pStyle w:val="Paragraphedeliste"/>
        <w:numPr>
          <w:ilvl w:val="0"/>
          <w:numId w:val="3"/>
        </w:num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color w:val="000000"/>
          <w:lang w:eastAsia="fr-FR"/>
        </w:rPr>
        <w:t>La société est dirigée par</w:t>
      </w:r>
      <w:r w:rsidRPr="00054921">
        <w:rPr>
          <w:rFonts w:ascii="Arial" w:eastAsia="Times New Roman" w:hAnsi="Arial" w:cs="Arial"/>
          <w:lang w:eastAsia="fr-FR"/>
        </w:rPr>
        <w:t xml:space="preserve"> un </w:t>
      </w:r>
      <w:r w:rsidRPr="00054921">
        <w:rPr>
          <w:rFonts w:ascii="Arial" w:eastAsia="Times New Roman" w:hAnsi="Arial" w:cs="Arial"/>
          <w:b/>
          <w:bCs/>
          <w:lang w:eastAsia="fr-FR"/>
        </w:rPr>
        <w:t>conseil d'administration</w:t>
      </w:r>
      <w:r w:rsidR="00C02E2F">
        <w:rPr>
          <w:rFonts w:ascii="Arial" w:eastAsia="Times New Roman" w:hAnsi="Arial" w:cs="Arial"/>
          <w:b/>
          <w:bCs/>
          <w:lang w:eastAsia="fr-FR"/>
        </w:rPr>
        <w:t>,</w:t>
      </w:r>
      <w:r w:rsidRPr="00054921">
        <w:rPr>
          <w:rFonts w:ascii="Arial" w:eastAsia="Times New Roman" w:hAnsi="Arial" w:cs="Arial"/>
          <w:lang w:eastAsia="fr-FR"/>
        </w:rPr>
        <w:t xml:space="preserve"> comprenant 3 à 18 membres (obligatoirement actionnaires)</w:t>
      </w:r>
      <w:r w:rsidR="00C02E2F">
        <w:rPr>
          <w:rFonts w:ascii="Arial" w:eastAsia="Times New Roman" w:hAnsi="Arial" w:cs="Arial"/>
          <w:lang w:eastAsia="fr-FR"/>
        </w:rPr>
        <w:t>,</w:t>
      </w:r>
      <w:r w:rsidRPr="00054921">
        <w:rPr>
          <w:rFonts w:ascii="Arial" w:eastAsia="Times New Roman" w:hAnsi="Arial" w:cs="Arial"/>
          <w:lang w:eastAsia="fr-FR"/>
        </w:rPr>
        <w:t xml:space="preserve"> qui détermine les orientations de l'activité et veille à leur mise en oeuvre. Son président est désigné par le conseil d'administration parmi ses membres.</w:t>
      </w:r>
      <w:r w:rsidRPr="00054921">
        <w:rPr>
          <w:rFonts w:ascii="Arial" w:eastAsia="Times New Roman" w:hAnsi="Arial" w:cs="Arial"/>
          <w:lang w:eastAsia="fr-FR"/>
        </w:rPr>
        <w:br/>
        <w:t>Le directeur général nommé par le conseil d'administration ou à défaut, le président du conseil d'administration, assure la gestion courante de la société et représente la société dans ses rapports avec les tiers.</w:t>
      </w:r>
      <w:r w:rsidRPr="00054921">
        <w:rPr>
          <w:rFonts w:ascii="Arial" w:eastAsia="Times New Roman" w:hAnsi="Arial" w:cs="Arial"/>
          <w:lang w:eastAsia="fr-FR"/>
        </w:rPr>
        <w:br/>
        <w:t>La fréquence des réunions du conseil d'administration n'est pas réglementée.</w:t>
      </w:r>
      <w:r w:rsidRPr="00054921">
        <w:rPr>
          <w:rFonts w:ascii="Arial" w:eastAsia="Times New Roman" w:hAnsi="Arial" w:cs="Arial"/>
          <w:lang w:eastAsia="fr-FR"/>
        </w:rPr>
        <w:br/>
        <w:t>Depuis le 1er janvier 2009, des personnes non actionnaires d'une SA peuvent devenir membres du conseil d'administration.</w:t>
      </w:r>
    </w:p>
    <w:p w:rsidR="00054921" w:rsidRPr="00054921" w:rsidRDefault="00054921" w:rsidP="00054921">
      <w:pPr>
        <w:pStyle w:val="Paragraphedeliste"/>
        <w:spacing w:before="100" w:beforeAutospacing="1" w:after="100" w:afterAutospacing="1" w:line="240" w:lineRule="auto"/>
        <w:rPr>
          <w:rFonts w:ascii="Arial" w:eastAsia="Times New Roman" w:hAnsi="Arial" w:cs="Arial"/>
          <w:lang w:eastAsia="fr-FR"/>
        </w:rPr>
      </w:pPr>
    </w:p>
    <w:p w:rsidR="00054921" w:rsidRPr="00054921" w:rsidRDefault="00054921" w:rsidP="00054921">
      <w:pPr>
        <w:pStyle w:val="Paragraphedeliste"/>
        <w:numPr>
          <w:ilvl w:val="0"/>
          <w:numId w:val="3"/>
        </w:num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 xml:space="preserve">Les </w:t>
      </w:r>
      <w:r w:rsidRPr="00054921">
        <w:rPr>
          <w:rFonts w:ascii="Arial" w:eastAsia="Times New Roman" w:hAnsi="Arial" w:cs="Arial"/>
          <w:b/>
          <w:bCs/>
          <w:lang w:eastAsia="fr-FR"/>
        </w:rPr>
        <w:t>actionnaires</w:t>
      </w:r>
      <w:r w:rsidRPr="00054921">
        <w:rPr>
          <w:rFonts w:ascii="Arial" w:eastAsia="Times New Roman" w:hAnsi="Arial" w:cs="Arial"/>
          <w:lang w:eastAsia="fr-FR"/>
        </w:rPr>
        <w:t xml:space="preserve"> se réunissent au minimum une fois par an en </w:t>
      </w:r>
      <w:r w:rsidRPr="00054921">
        <w:rPr>
          <w:rFonts w:ascii="Arial" w:eastAsia="Times New Roman" w:hAnsi="Arial" w:cs="Arial"/>
          <w:b/>
          <w:bCs/>
          <w:lang w:eastAsia="fr-FR"/>
        </w:rPr>
        <w:t>assemblée générale</w:t>
      </w:r>
      <w:r w:rsidRPr="00054921">
        <w:rPr>
          <w:rFonts w:ascii="Arial" w:eastAsia="Times New Roman" w:hAnsi="Arial" w:cs="Arial"/>
          <w:lang w:eastAsia="fr-FR"/>
        </w:rPr>
        <w:t xml:space="preserve"> </w:t>
      </w:r>
      <w:r w:rsidRPr="00054921">
        <w:rPr>
          <w:rFonts w:ascii="Arial" w:eastAsia="Times New Roman" w:hAnsi="Arial" w:cs="Arial"/>
          <w:b/>
          <w:bCs/>
          <w:lang w:eastAsia="fr-FR"/>
        </w:rPr>
        <w:t>ordinaire</w:t>
      </w:r>
      <w:r w:rsidRPr="00054921">
        <w:rPr>
          <w:rFonts w:ascii="Arial" w:eastAsia="Times New Roman" w:hAnsi="Arial" w:cs="Arial"/>
          <w:lang w:eastAsia="fr-FR"/>
        </w:rPr>
        <w:t xml:space="preserve"> (AGO).</w:t>
      </w:r>
      <w:r w:rsidRPr="00054921">
        <w:rPr>
          <w:rFonts w:ascii="Arial" w:eastAsia="Times New Roman" w:hAnsi="Arial" w:cs="Arial"/>
          <w:lang w:eastAsia="fr-FR"/>
        </w:rPr>
        <w:br/>
        <w:t>L'approbation annuelle des comptes ainsi que les décisions ordinaires se prennent en assemblée générale ordinaire à la majorité des voix (50 % + 1 voix). Pour prendre une décision, les ac</w:t>
      </w:r>
      <w:r>
        <w:rPr>
          <w:rFonts w:ascii="Arial" w:eastAsia="Times New Roman" w:hAnsi="Arial" w:cs="Arial"/>
          <w:lang w:eastAsia="fr-FR"/>
        </w:rPr>
        <w:t>t</w:t>
      </w:r>
      <w:r w:rsidRPr="00054921">
        <w:rPr>
          <w:rFonts w:ascii="Arial" w:eastAsia="Times New Roman" w:hAnsi="Arial" w:cs="Arial"/>
          <w:lang w:eastAsia="fr-FR"/>
        </w:rPr>
        <w:t>ionnaires présents ou représentés doivent posséder au moins le 1/5 des actions.</w:t>
      </w:r>
      <w:r w:rsidRPr="00054921">
        <w:rPr>
          <w:rFonts w:ascii="Arial" w:eastAsia="Times New Roman" w:hAnsi="Arial" w:cs="Arial"/>
          <w:lang w:eastAsia="fr-FR"/>
        </w:rPr>
        <w:br/>
      </w:r>
      <w:r w:rsidRPr="00054921">
        <w:rPr>
          <w:rFonts w:ascii="Arial" w:eastAsia="Times New Roman" w:hAnsi="Arial" w:cs="Arial"/>
          <w:lang w:eastAsia="fr-FR"/>
        </w:rPr>
        <w:br/>
      </w:r>
      <w:r w:rsidRPr="00054921">
        <w:rPr>
          <w:noProof/>
          <w:lang w:eastAsia="fr-FR"/>
        </w:rPr>
        <w:drawing>
          <wp:inline distT="0" distB="0" distL="0" distR="0">
            <wp:extent cx="114300" cy="95250"/>
            <wp:effectExtent l="19050" t="0" r="0" b="0"/>
            <wp:docPr id="9" name="Image 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 xml:space="preserve">Les décisions de modification des statuts se prennent en </w:t>
      </w:r>
      <w:r w:rsidRPr="00054921">
        <w:rPr>
          <w:rFonts w:ascii="Arial" w:eastAsia="Times New Roman" w:hAnsi="Arial" w:cs="Arial"/>
          <w:b/>
          <w:bCs/>
          <w:lang w:eastAsia="fr-FR"/>
        </w:rPr>
        <w:t>assemblée générale extraordinaire</w:t>
      </w:r>
      <w:r w:rsidRPr="00054921">
        <w:rPr>
          <w:rFonts w:ascii="Arial" w:eastAsia="Times New Roman" w:hAnsi="Arial" w:cs="Arial"/>
          <w:lang w:eastAsia="fr-FR"/>
        </w:rPr>
        <w:t xml:space="preserve"> (AGE) à la majorité des 2/3 des voix. Pour prendre une décision, les actionnaires présents ou représentés doivent posséder au moins le 1/4 des actions lors de la 1</w:t>
      </w:r>
      <w:r w:rsidRPr="00054921">
        <w:rPr>
          <w:rFonts w:ascii="Arial" w:eastAsia="Times New Roman" w:hAnsi="Arial" w:cs="Arial"/>
          <w:vertAlign w:val="superscript"/>
          <w:lang w:eastAsia="fr-FR"/>
        </w:rPr>
        <w:t>ère</w:t>
      </w:r>
      <w:r w:rsidRPr="00054921">
        <w:rPr>
          <w:rFonts w:ascii="Arial" w:eastAsia="Times New Roman" w:hAnsi="Arial" w:cs="Arial"/>
          <w:lang w:eastAsia="fr-FR"/>
        </w:rPr>
        <w:t xml:space="preserve"> convocation de l'AGE. A défaut, la seconde AGE doit se tenir dans un délai maximum de 2 mois et les actionnaires présents ou représentés doivent posséder au moins le 1/5 des actions.</w:t>
      </w:r>
    </w:p>
    <w:p w:rsidR="00054921" w:rsidRDefault="00054921" w:rsidP="00054921">
      <w:pPr>
        <w:spacing w:before="100" w:beforeAutospacing="1" w:after="100" w:afterAutospacing="1" w:line="240" w:lineRule="auto"/>
        <w:rPr>
          <w:rFonts w:ascii="Arial" w:eastAsia="Times New Roman" w:hAnsi="Arial" w:cs="Arial"/>
          <w:b/>
          <w:bCs/>
          <w:color w:val="000000"/>
          <w:u w:val="single"/>
          <w:lang w:eastAsia="fr-FR"/>
        </w:rPr>
      </w:pPr>
      <w:r w:rsidRPr="00054921">
        <w:rPr>
          <w:rFonts w:ascii="Arial" w:eastAsia="Times New Roman" w:hAnsi="Arial" w:cs="Arial"/>
          <w:b/>
          <w:bCs/>
          <w:lang w:eastAsia="fr-FR"/>
        </w:rPr>
        <w:br/>
      </w:r>
      <w:bookmarkStart w:id="4" w:name="toc4"/>
      <w:bookmarkEnd w:id="4"/>
      <w:r w:rsidRPr="00054921">
        <w:rPr>
          <w:rFonts w:ascii="Arial" w:eastAsia="Times New Roman" w:hAnsi="Arial" w:cs="Arial"/>
          <w:b/>
          <w:bCs/>
          <w:noProof/>
          <w:u w:val="single"/>
          <w:lang w:eastAsia="fr-FR"/>
        </w:rPr>
        <w:t>5 :</w:t>
      </w:r>
      <w:r w:rsidRPr="00054921">
        <w:rPr>
          <w:rFonts w:ascii="Arial" w:eastAsia="Times New Roman" w:hAnsi="Arial" w:cs="Arial"/>
          <w:b/>
          <w:bCs/>
          <w:u w:val="single"/>
          <w:lang w:eastAsia="fr-FR"/>
        </w:rPr>
        <w:t xml:space="preserve">  </w:t>
      </w:r>
      <w:r w:rsidRPr="00054921">
        <w:rPr>
          <w:rFonts w:ascii="Arial" w:eastAsia="Times New Roman" w:hAnsi="Arial" w:cs="Arial"/>
          <w:b/>
          <w:bCs/>
          <w:color w:val="000000"/>
          <w:u w:val="single"/>
          <w:lang w:eastAsia="fr-FR"/>
        </w:rPr>
        <w:t xml:space="preserve">Régime fiscal </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b/>
          <w:bCs/>
          <w:color w:val="000000"/>
          <w:lang w:eastAsia="fr-FR"/>
        </w:rPr>
        <w:lastRenderedPageBreak/>
        <w:t>La société</w:t>
      </w:r>
      <w:r>
        <w:rPr>
          <w:rFonts w:ascii="Arial" w:eastAsia="Times New Roman" w:hAnsi="Arial" w:cs="Arial"/>
          <w:b/>
          <w:bCs/>
          <w:color w:val="000000"/>
          <w:lang w:eastAsia="fr-FR"/>
        </w:rPr>
        <w:t> </w:t>
      </w:r>
      <w:r>
        <w:rPr>
          <w:rFonts w:ascii="Arial" w:eastAsia="Times New Roman" w:hAnsi="Arial" w:cs="Arial"/>
          <w:b/>
          <w:bCs/>
          <w:lang w:eastAsia="fr-FR"/>
        </w:rPr>
        <w:t>:</w:t>
      </w:r>
      <w:r w:rsidRPr="00054921">
        <w:rPr>
          <w:rFonts w:ascii="Arial" w:eastAsia="Times New Roman" w:hAnsi="Arial" w:cs="Arial"/>
          <w:b/>
          <w:bCs/>
          <w:lang w:eastAsia="fr-FR"/>
        </w:rPr>
        <w:br/>
      </w:r>
      <w:r w:rsidRPr="00054921">
        <w:rPr>
          <w:rFonts w:ascii="Arial" w:eastAsia="Times New Roman" w:hAnsi="Arial" w:cs="Arial"/>
          <w:b/>
          <w:bCs/>
          <w:lang w:eastAsia="fr-FR"/>
        </w:rPr>
        <w:br/>
      </w:r>
      <w:r>
        <w:rPr>
          <w:rFonts w:ascii="Arial" w:eastAsia="Times New Roman" w:hAnsi="Arial" w:cs="Arial"/>
          <w:noProof/>
          <w:lang w:eastAsia="fr-FR"/>
        </w:rPr>
        <w:t xml:space="preserve">- </w:t>
      </w:r>
      <w:r w:rsidRPr="00054921">
        <w:rPr>
          <w:rFonts w:ascii="Arial" w:eastAsia="Times New Roman" w:hAnsi="Arial" w:cs="Arial"/>
          <w:lang w:eastAsia="fr-FR"/>
        </w:rPr>
        <w:t xml:space="preserve">  </w:t>
      </w:r>
      <w:r w:rsidRPr="00054921">
        <w:rPr>
          <w:rFonts w:ascii="Arial" w:eastAsia="Times New Roman" w:hAnsi="Arial" w:cs="Arial"/>
          <w:b/>
          <w:bCs/>
          <w:lang w:eastAsia="fr-FR"/>
        </w:rPr>
        <w:t>La SA est imposée de droit à l'impôt sur les sociétés</w:t>
      </w:r>
      <w:r w:rsidRPr="00054921">
        <w:rPr>
          <w:rFonts w:ascii="Arial" w:eastAsia="Times New Roman" w:hAnsi="Arial" w:cs="Arial"/>
          <w:lang w:eastAsia="fr-FR"/>
        </w:rPr>
        <w:t>.</w:t>
      </w:r>
      <w:r w:rsidRPr="00054921">
        <w:rPr>
          <w:rFonts w:ascii="Arial" w:eastAsia="Times New Roman" w:hAnsi="Arial" w:cs="Arial"/>
          <w:lang w:eastAsia="fr-FR"/>
        </w:rPr>
        <w:br/>
        <w:t>Le bénéfice imposable est obtenu après déduction de la rémunération du ou des dirigeants.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Pr>
          <w:rFonts w:ascii="Arial" w:eastAsia="Times New Roman" w:hAnsi="Arial" w:cs="Arial"/>
          <w:b/>
          <w:bCs/>
          <w:lang w:eastAsia="fr-FR"/>
        </w:rPr>
        <w:t>-</w:t>
      </w:r>
      <w:r w:rsidRPr="00054921">
        <w:rPr>
          <w:rFonts w:ascii="Arial" w:eastAsia="Times New Roman" w:hAnsi="Arial" w:cs="Arial"/>
          <w:b/>
          <w:bCs/>
          <w:lang w:eastAsia="fr-FR"/>
        </w:rPr>
        <w:t xml:space="preserve">  </w:t>
      </w:r>
      <w:r>
        <w:rPr>
          <w:rFonts w:ascii="Arial" w:eastAsia="Times New Roman" w:hAnsi="Arial" w:cs="Arial"/>
          <w:b/>
          <w:bCs/>
          <w:lang w:eastAsia="fr-FR"/>
        </w:rPr>
        <w:t xml:space="preserve"> </w:t>
      </w:r>
      <w:r w:rsidRPr="00054921">
        <w:rPr>
          <w:rFonts w:ascii="Arial" w:eastAsia="Times New Roman" w:hAnsi="Arial" w:cs="Arial"/>
          <w:b/>
          <w:bCs/>
          <w:lang w:eastAsia="fr-FR"/>
        </w:rPr>
        <w:t>Nouvelle option pour l'IR des SARL, SA et SAS de moins de 5 ans.</w:t>
      </w:r>
      <w:r w:rsidRPr="00054921">
        <w:rPr>
          <w:rFonts w:ascii="Arial" w:eastAsia="Times New Roman" w:hAnsi="Arial" w:cs="Arial"/>
          <w:lang w:eastAsia="fr-FR"/>
        </w:rPr>
        <w:t xml:space="preserve"> Sont concernées les sociétés non cotées qui emploient moins de 50 salariés et réalisent un CA annuel ou un total de bilan inférieur à 10 millions d'euros et, dont les droits de vote sont détenus à hauteur de 50 % au moins par des personnes physiques et à hauteur de 34 % au moins par le (ou les) dirigeant (s) de l'entreprise et les membres de son (leur) foyer fiscal. Cette option nécessite l'accord de tous les actionnaires. Elle est valable pour 5 exercices, sauf dénonciation.</w:t>
      </w:r>
      <w:r w:rsidRPr="00054921">
        <w:rPr>
          <w:rFonts w:ascii="Arial" w:eastAsia="Times New Roman" w:hAnsi="Arial" w:cs="Arial"/>
          <w:lang w:eastAsia="fr-FR"/>
        </w:rPr>
        <w:br/>
      </w:r>
      <w:r w:rsidRPr="00054921">
        <w:rPr>
          <w:rFonts w:ascii="Arial" w:eastAsia="Times New Roman" w:hAnsi="Arial" w:cs="Arial"/>
          <w:b/>
          <w:bCs/>
          <w:lang w:eastAsia="fr-FR"/>
        </w:rPr>
        <w:br/>
      </w:r>
      <w:r>
        <w:rPr>
          <w:rFonts w:ascii="Arial" w:eastAsia="Times New Roman" w:hAnsi="Arial" w:cs="Arial"/>
          <w:b/>
          <w:bCs/>
          <w:color w:val="000000"/>
          <w:lang w:eastAsia="fr-FR"/>
        </w:rPr>
        <w:t xml:space="preserve">les </w:t>
      </w:r>
      <w:r w:rsidRPr="00054921">
        <w:rPr>
          <w:rFonts w:ascii="Arial" w:eastAsia="Times New Roman" w:hAnsi="Arial" w:cs="Arial"/>
          <w:b/>
          <w:bCs/>
          <w:color w:val="000000"/>
          <w:lang w:eastAsia="fr-FR"/>
        </w:rPr>
        <w:t>dirigeants</w:t>
      </w:r>
      <w:r>
        <w:rPr>
          <w:rFonts w:ascii="Arial" w:eastAsia="Times New Roman" w:hAnsi="Arial" w:cs="Arial"/>
          <w:b/>
          <w:bCs/>
          <w:color w:val="000000"/>
          <w:lang w:eastAsia="fr-FR"/>
        </w:rPr>
        <w:t xml:space="preserve"> : </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Pr>
          <w:rFonts w:ascii="Arial" w:eastAsia="Times New Roman" w:hAnsi="Arial" w:cs="Arial"/>
          <w:b/>
          <w:bCs/>
          <w:noProof/>
          <w:lang w:eastAsia="fr-FR"/>
        </w:rPr>
        <w:t>-</w:t>
      </w:r>
      <w:r w:rsidRPr="00054921">
        <w:rPr>
          <w:rFonts w:ascii="Arial" w:eastAsia="Times New Roman" w:hAnsi="Arial" w:cs="Arial"/>
          <w:b/>
          <w:bCs/>
          <w:lang w:eastAsia="fr-FR"/>
        </w:rPr>
        <w:t>  Président et directeur général</w:t>
      </w:r>
      <w:r w:rsidRPr="00054921">
        <w:rPr>
          <w:rFonts w:ascii="Arial" w:eastAsia="Times New Roman" w:hAnsi="Arial" w:cs="Arial"/>
          <w:lang w:eastAsia="fr-FR"/>
        </w:rPr>
        <w:t xml:space="preserve"> : traitements et salaires. Possibilité d'appliquer la déduction forfaitaire pour frais professionnels de 10 % ou de déduire les frais réels.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Pr>
          <w:rFonts w:ascii="Arial" w:eastAsia="Times New Roman" w:hAnsi="Arial" w:cs="Arial"/>
          <w:b/>
          <w:bCs/>
          <w:noProof/>
          <w:lang w:eastAsia="fr-FR"/>
        </w:rPr>
        <w:t>-</w:t>
      </w:r>
      <w:r w:rsidRPr="00054921">
        <w:rPr>
          <w:rFonts w:ascii="Arial" w:eastAsia="Times New Roman" w:hAnsi="Arial" w:cs="Arial"/>
          <w:b/>
          <w:bCs/>
          <w:lang w:eastAsia="fr-FR"/>
        </w:rPr>
        <w:t>  Administrateurs titulaires d'un contrat de travail</w:t>
      </w:r>
      <w:r w:rsidRPr="00054921">
        <w:rPr>
          <w:rFonts w:ascii="Arial" w:eastAsia="Times New Roman" w:hAnsi="Arial" w:cs="Arial"/>
          <w:lang w:eastAsia="fr-FR"/>
        </w:rPr>
        <w:t xml:space="preserve"> : idem.</w:t>
      </w:r>
    </w:p>
    <w:p w:rsidR="00054921" w:rsidRPr="00054921" w:rsidRDefault="00054921" w:rsidP="00054921">
      <w:pPr>
        <w:spacing w:before="100" w:beforeAutospacing="1" w:after="100" w:afterAutospacing="1" w:line="240" w:lineRule="auto"/>
        <w:rPr>
          <w:rFonts w:ascii="Arial" w:eastAsia="Times New Roman" w:hAnsi="Arial" w:cs="Arial"/>
          <w:u w:val="single"/>
          <w:lang w:eastAsia="fr-FR"/>
        </w:rPr>
      </w:pPr>
      <w:r w:rsidRPr="00054921">
        <w:rPr>
          <w:rFonts w:ascii="Arial" w:eastAsia="Times New Roman" w:hAnsi="Arial" w:cs="Arial"/>
          <w:b/>
          <w:bCs/>
          <w:lang w:eastAsia="fr-FR"/>
        </w:rPr>
        <w:br/>
      </w:r>
      <w:bookmarkStart w:id="5" w:name="toc6"/>
      <w:bookmarkEnd w:id="5"/>
      <w:r w:rsidRPr="00054921">
        <w:rPr>
          <w:rFonts w:ascii="Arial" w:eastAsia="Times New Roman" w:hAnsi="Arial" w:cs="Arial"/>
          <w:b/>
          <w:bCs/>
          <w:noProof/>
          <w:u w:val="single"/>
          <w:lang w:eastAsia="fr-FR"/>
        </w:rPr>
        <w:t>6 :</w:t>
      </w:r>
      <w:r w:rsidRPr="00054921">
        <w:rPr>
          <w:rFonts w:ascii="Arial" w:eastAsia="Times New Roman" w:hAnsi="Arial" w:cs="Arial"/>
          <w:b/>
          <w:bCs/>
          <w:u w:val="single"/>
          <w:lang w:eastAsia="fr-FR"/>
        </w:rPr>
        <w:t xml:space="preserve">  </w:t>
      </w:r>
      <w:r w:rsidRPr="00054921">
        <w:rPr>
          <w:rFonts w:ascii="Arial" w:eastAsia="Times New Roman" w:hAnsi="Arial" w:cs="Arial"/>
          <w:b/>
          <w:bCs/>
          <w:color w:val="000000"/>
          <w:u w:val="single"/>
          <w:lang w:eastAsia="fr-FR"/>
        </w:rPr>
        <w:t>Régime social des dirigeants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Pr>
          <w:rFonts w:ascii="Arial" w:eastAsia="Times New Roman" w:hAnsi="Arial" w:cs="Arial"/>
          <w:b/>
          <w:bCs/>
          <w:noProof/>
          <w:lang w:eastAsia="fr-FR"/>
        </w:rPr>
        <w:t>-</w:t>
      </w:r>
      <w:r w:rsidRPr="00054921">
        <w:rPr>
          <w:rFonts w:ascii="Arial" w:eastAsia="Times New Roman" w:hAnsi="Arial" w:cs="Arial"/>
          <w:b/>
          <w:bCs/>
          <w:lang w:eastAsia="fr-FR"/>
        </w:rPr>
        <w:t>  Président et directeur général</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lang w:eastAsia="fr-FR"/>
        </w:rPr>
        <w:t>Ils relèvent du régime des "assimilés-salariés", c'est-à-dire qu'ils bénéficient du régime de sécurité sociale et de retraite des salariés, en ce qui concerne leurs fonctions de dirigeant, et ce, quel que soit le nombre d'actions qu'ils détiennent dans la société. Ils sont exclus du régime d'assurance chômage.</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i/>
          <w:lang w:eastAsia="fr-FR"/>
        </w:rPr>
        <w:t xml:space="preserve">Précision </w:t>
      </w:r>
      <w:r w:rsidRPr="00054921">
        <w:rPr>
          <w:rFonts w:ascii="Arial" w:eastAsia="Times New Roman" w:hAnsi="Arial" w:cs="Arial"/>
          <w:lang w:eastAsia="fr-FR"/>
        </w:rPr>
        <w:t>: le président peut cumuler ses fonctions de président avec un contrat de travail (conclu antérieurement à sa nomination) relatif à des fonctions techniques distinctes. Mais, il ne sera couvert par le Pôle emploi au titre de ce contrat que s'il est possible d'établir un lien de subordination entre lui et la société (situation rare en pratique).</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Pr>
          <w:rFonts w:ascii="Arial" w:eastAsia="Times New Roman" w:hAnsi="Arial" w:cs="Arial"/>
          <w:b/>
          <w:bCs/>
          <w:noProof/>
          <w:lang w:eastAsia="fr-FR"/>
        </w:rPr>
        <w:t>-</w:t>
      </w:r>
      <w:r w:rsidRPr="00054921">
        <w:rPr>
          <w:rFonts w:ascii="Arial" w:eastAsia="Times New Roman" w:hAnsi="Arial" w:cs="Arial"/>
          <w:b/>
          <w:bCs/>
          <w:lang w:eastAsia="fr-FR"/>
        </w:rPr>
        <w:t>  Autres administrateurs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b/>
          <w:bCs/>
          <w:noProof/>
          <w:lang w:eastAsia="fr-FR"/>
        </w:rPr>
        <w:drawing>
          <wp:inline distT="0" distB="0" distL="0" distR="0">
            <wp:extent cx="114300" cy="95250"/>
            <wp:effectExtent l="19050" t="0" r="0" b="0"/>
            <wp:docPr id="19" name="Image 1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Principe : non rémunérés. Ils ne relèvent donc, ni du régime des salariés, ni de celui des travailleurs non-salariés.</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b/>
          <w:bCs/>
          <w:noProof/>
          <w:lang w:eastAsia="fr-FR"/>
        </w:rPr>
        <w:drawing>
          <wp:inline distT="0" distB="0" distL="0" distR="0">
            <wp:extent cx="114300" cy="95250"/>
            <wp:effectExtent l="19050" t="0" r="0" b="0"/>
            <wp:docPr id="20" name="Image 20"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Toutefois, les administrateurs peuvent cumuler leur mandat social avec un contrat de travail si ce dernier correspond à un emploi effectif. Le nombre d'administrateurs ayant un contrat de travail ne doit pas dépasser le tiers des administrateurs en fonction.</w:t>
      </w:r>
    </w:p>
    <w:p w:rsidR="00054921" w:rsidRPr="00054921" w:rsidRDefault="00054921" w:rsidP="00054921">
      <w:pPr>
        <w:spacing w:before="100" w:beforeAutospacing="1" w:after="100" w:afterAutospacing="1" w:line="240" w:lineRule="auto"/>
        <w:rPr>
          <w:rFonts w:ascii="Arial" w:eastAsia="Times New Roman" w:hAnsi="Arial" w:cs="Arial"/>
          <w:u w:val="single"/>
          <w:lang w:eastAsia="fr-FR"/>
        </w:rPr>
      </w:pPr>
      <w:bookmarkStart w:id="6" w:name="toc7"/>
      <w:bookmarkEnd w:id="6"/>
      <w:r w:rsidRPr="00054921">
        <w:rPr>
          <w:rFonts w:ascii="Arial" w:eastAsia="Times New Roman" w:hAnsi="Arial" w:cs="Arial"/>
          <w:noProof/>
          <w:u w:val="single"/>
          <w:lang w:eastAsia="fr-FR"/>
        </w:rPr>
        <w:t>7 :</w:t>
      </w:r>
      <w:r w:rsidRPr="00054921">
        <w:rPr>
          <w:rFonts w:ascii="Arial" w:eastAsia="Times New Roman" w:hAnsi="Arial" w:cs="Arial"/>
          <w:u w:val="single"/>
          <w:lang w:eastAsia="fr-FR"/>
        </w:rPr>
        <w:t xml:space="preserve">  </w:t>
      </w:r>
      <w:r w:rsidRPr="00054921">
        <w:rPr>
          <w:rFonts w:ascii="Arial" w:eastAsia="Times New Roman" w:hAnsi="Arial" w:cs="Arial"/>
          <w:b/>
          <w:bCs/>
          <w:color w:val="000000"/>
          <w:u w:val="single"/>
          <w:lang w:eastAsia="fr-FR"/>
        </w:rPr>
        <w:t>Transmission</w:t>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noProof/>
          <w:lang w:eastAsia="fr-FR"/>
        </w:rPr>
        <w:drawing>
          <wp:inline distT="0" distB="0" distL="0" distR="0">
            <wp:extent cx="114300" cy="95250"/>
            <wp:effectExtent l="19050" t="0" r="0" b="0"/>
            <wp:docPr id="22" name="Image 22"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Cessions d'actions.</w:t>
      </w:r>
      <w:r w:rsidRPr="00054921">
        <w:rPr>
          <w:rFonts w:ascii="Arial" w:eastAsia="Times New Roman" w:hAnsi="Arial" w:cs="Arial"/>
          <w:lang w:eastAsia="fr-FR"/>
        </w:rPr>
        <w:br/>
      </w:r>
      <w:r w:rsidRPr="00054921">
        <w:rPr>
          <w:rFonts w:ascii="Arial" w:eastAsia="Times New Roman" w:hAnsi="Arial" w:cs="Arial"/>
          <w:noProof/>
          <w:lang w:eastAsia="fr-FR"/>
        </w:rPr>
        <w:drawing>
          <wp:inline distT="0" distB="0" distL="0" distR="0">
            <wp:extent cx="114300" cy="95250"/>
            <wp:effectExtent l="19050" t="0" r="0" b="0"/>
            <wp:docPr id="23" name="Image 23"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Droits d'enregistrement : les cessions d'actions sont assujetties à un droit de 3 % plafonné à 5 000 euros (à la charge de l'acquéreur).</w:t>
      </w:r>
      <w:r w:rsidRPr="00054921">
        <w:rPr>
          <w:rFonts w:ascii="Arial" w:eastAsia="Times New Roman" w:hAnsi="Arial" w:cs="Arial"/>
          <w:lang w:eastAsia="fr-FR"/>
        </w:rPr>
        <w:br/>
      </w:r>
      <w:r w:rsidRPr="00054921">
        <w:rPr>
          <w:rFonts w:ascii="Arial" w:eastAsia="Times New Roman" w:hAnsi="Arial" w:cs="Arial"/>
          <w:noProof/>
          <w:lang w:eastAsia="fr-FR"/>
        </w:rPr>
        <w:drawing>
          <wp:inline distT="0" distB="0" distL="0" distR="0">
            <wp:extent cx="114300" cy="95250"/>
            <wp:effectExtent l="19050" t="0" r="0" b="0"/>
            <wp:docPr id="24" name="Image 24"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Plus-values professionnelles (à la charge du vendeur).</w:t>
      </w:r>
    </w:p>
    <w:p w:rsidR="00054921" w:rsidRDefault="00054921" w:rsidP="00054921">
      <w:pPr>
        <w:spacing w:before="100" w:beforeAutospacing="1" w:after="100" w:afterAutospacing="1" w:line="240" w:lineRule="auto"/>
        <w:rPr>
          <w:rFonts w:ascii="Arial" w:eastAsia="Times New Roman" w:hAnsi="Arial" w:cs="Arial"/>
          <w:b/>
          <w:bCs/>
          <w:color w:val="000000"/>
          <w:u w:val="single"/>
          <w:lang w:eastAsia="fr-FR"/>
        </w:rPr>
      </w:pPr>
      <w:bookmarkStart w:id="7" w:name="toc8"/>
      <w:bookmarkEnd w:id="7"/>
      <w:r w:rsidRPr="00054921">
        <w:rPr>
          <w:rFonts w:ascii="Arial" w:eastAsia="Times New Roman" w:hAnsi="Arial" w:cs="Arial"/>
          <w:b/>
          <w:bCs/>
          <w:noProof/>
          <w:u w:val="single"/>
          <w:lang w:eastAsia="fr-FR"/>
        </w:rPr>
        <w:t>8 :</w:t>
      </w:r>
      <w:r w:rsidRPr="00054921">
        <w:rPr>
          <w:rFonts w:ascii="Arial" w:eastAsia="Times New Roman" w:hAnsi="Arial" w:cs="Arial"/>
          <w:b/>
          <w:bCs/>
          <w:u w:val="single"/>
          <w:lang w:eastAsia="fr-FR"/>
        </w:rPr>
        <w:t xml:space="preserve">  </w:t>
      </w:r>
      <w:r w:rsidRPr="00054921">
        <w:rPr>
          <w:rFonts w:ascii="Arial" w:eastAsia="Times New Roman" w:hAnsi="Arial" w:cs="Arial"/>
          <w:b/>
          <w:bCs/>
          <w:color w:val="000000"/>
          <w:u w:val="single"/>
          <w:lang w:eastAsia="fr-FR"/>
        </w:rPr>
        <w:t>Principaux avantages et inconvénients</w:t>
      </w:r>
    </w:p>
    <w:p w:rsidR="00054921" w:rsidRPr="00054921" w:rsidRDefault="00054921" w:rsidP="00054921">
      <w:pPr>
        <w:pStyle w:val="Paragraphedeliste"/>
        <w:numPr>
          <w:ilvl w:val="0"/>
          <w:numId w:val="2"/>
        </w:numPr>
        <w:spacing w:before="100" w:beforeAutospacing="1" w:after="100" w:afterAutospacing="1" w:line="240" w:lineRule="auto"/>
        <w:rPr>
          <w:rFonts w:ascii="Arial" w:eastAsia="Times New Roman" w:hAnsi="Arial" w:cs="Arial"/>
          <w:b/>
          <w:bCs/>
          <w:color w:val="000000"/>
          <w:lang w:eastAsia="fr-FR"/>
        </w:rPr>
      </w:pPr>
      <w:r w:rsidRPr="00054921">
        <w:rPr>
          <w:rFonts w:ascii="Arial" w:eastAsia="Times New Roman" w:hAnsi="Arial" w:cs="Arial"/>
          <w:b/>
          <w:bCs/>
          <w:color w:val="000000"/>
          <w:lang w:eastAsia="fr-FR"/>
        </w:rPr>
        <w:t>Avantages :</w:t>
      </w:r>
    </w:p>
    <w:p w:rsidR="00054921" w:rsidRPr="00054921" w:rsidRDefault="00C02E2F" w:rsidP="00054921">
      <w:pPr>
        <w:spacing w:before="100" w:beforeAutospacing="1" w:after="100" w:afterAutospacing="1" w:line="240" w:lineRule="auto"/>
        <w:rPr>
          <w:rFonts w:ascii="Arial" w:eastAsia="Times New Roman" w:hAnsi="Arial" w:cs="Arial"/>
          <w:lang w:eastAsia="fr-FR"/>
        </w:rPr>
      </w:pPr>
      <w:r w:rsidRPr="00AC55BB">
        <w:rPr>
          <w:rFonts w:ascii="Arial" w:eastAsia="Times New Roman" w:hAnsi="Arial" w:cs="Arial"/>
          <w:noProof/>
          <w:lang w:eastAsia="fr-FR"/>
        </w:rPr>
        <w:pict>
          <v:shape id="Image 26" o:spid="_x0000_i1025" type="#_x0000_t75" alt="http://media.apce.com/design/front_office_apce/images/newpuce-1/triangle.gif" style="width:9pt;height:7.5pt;visibility:visible;mso-wrap-style:square" o:bullet="t">
            <v:imagedata r:id="rId8" o:title="triangle"/>
          </v:shape>
        </w:pict>
      </w:r>
      <w:r w:rsidR="00054921" w:rsidRPr="00054921">
        <w:rPr>
          <w:rFonts w:ascii="Arial" w:eastAsia="Times New Roman" w:hAnsi="Arial" w:cs="Arial"/>
          <w:lang w:eastAsia="fr-FR"/>
        </w:rPr>
        <w:t>Responsabilité des actionnaires limitée aux apports.</w:t>
      </w:r>
      <w:r w:rsidR="00054921" w:rsidRPr="00054921">
        <w:rPr>
          <w:rFonts w:ascii="Arial" w:eastAsia="Times New Roman" w:hAnsi="Arial" w:cs="Arial"/>
          <w:lang w:eastAsia="fr-FR"/>
        </w:rPr>
        <w:br/>
      </w:r>
      <w:r w:rsidR="00054921" w:rsidRPr="00054921">
        <w:rPr>
          <w:rFonts w:ascii="Arial" w:eastAsia="Times New Roman" w:hAnsi="Arial" w:cs="Arial"/>
          <w:noProof/>
          <w:lang w:eastAsia="fr-FR"/>
        </w:rPr>
        <w:drawing>
          <wp:inline distT="0" distB="0" distL="0" distR="0">
            <wp:extent cx="114300" cy="95250"/>
            <wp:effectExtent l="19050" t="0" r="0" b="0"/>
            <wp:docPr id="27" name="Image 27"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00054921" w:rsidRPr="00054921">
        <w:rPr>
          <w:rFonts w:ascii="Arial" w:eastAsia="Times New Roman" w:hAnsi="Arial" w:cs="Arial"/>
          <w:lang w:eastAsia="fr-FR"/>
        </w:rPr>
        <w:t>Structure évolutive facilitant le partenariat.</w:t>
      </w:r>
      <w:r w:rsidR="00054921" w:rsidRPr="00054921">
        <w:rPr>
          <w:rFonts w:ascii="Arial" w:eastAsia="Times New Roman" w:hAnsi="Arial" w:cs="Arial"/>
          <w:lang w:eastAsia="fr-FR"/>
        </w:rPr>
        <w:br/>
      </w:r>
      <w:r w:rsidR="00054921" w:rsidRPr="00054921">
        <w:rPr>
          <w:rFonts w:ascii="Arial" w:eastAsia="Times New Roman" w:hAnsi="Arial" w:cs="Arial"/>
          <w:noProof/>
          <w:lang w:eastAsia="fr-FR"/>
        </w:rPr>
        <w:drawing>
          <wp:inline distT="0" distB="0" distL="0" distR="0">
            <wp:extent cx="114300" cy="95250"/>
            <wp:effectExtent l="19050" t="0" r="0" b="0"/>
            <wp:docPr id="28" name="Image 28"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00054921" w:rsidRPr="00054921">
        <w:rPr>
          <w:rFonts w:ascii="Arial" w:eastAsia="Times New Roman" w:hAnsi="Arial" w:cs="Arial"/>
          <w:lang w:eastAsia="fr-FR"/>
        </w:rPr>
        <w:t>Charges sociales calculées uniquement sur la rémunération.</w:t>
      </w:r>
      <w:r w:rsidR="00054921" w:rsidRPr="00054921">
        <w:rPr>
          <w:rFonts w:ascii="Arial" w:eastAsia="Times New Roman" w:hAnsi="Arial" w:cs="Arial"/>
          <w:lang w:eastAsia="fr-FR"/>
        </w:rPr>
        <w:br/>
      </w:r>
      <w:r w:rsidR="00054921" w:rsidRPr="00054921">
        <w:rPr>
          <w:rFonts w:ascii="Arial" w:eastAsia="Times New Roman" w:hAnsi="Arial" w:cs="Arial"/>
          <w:noProof/>
          <w:lang w:eastAsia="fr-FR"/>
        </w:rPr>
        <w:lastRenderedPageBreak/>
        <w:drawing>
          <wp:inline distT="0" distB="0" distL="0" distR="0">
            <wp:extent cx="114300" cy="95250"/>
            <wp:effectExtent l="19050" t="0" r="0" b="0"/>
            <wp:docPr id="29" name="Image 29"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00054921" w:rsidRPr="00054921">
        <w:rPr>
          <w:rFonts w:ascii="Arial" w:eastAsia="Times New Roman" w:hAnsi="Arial" w:cs="Arial"/>
          <w:lang w:eastAsia="fr-FR"/>
        </w:rPr>
        <w:t>Facilité et souplesse de transmission des actions.</w:t>
      </w:r>
      <w:r w:rsidR="00054921" w:rsidRPr="00054921">
        <w:rPr>
          <w:rFonts w:ascii="Arial" w:eastAsia="Times New Roman" w:hAnsi="Arial" w:cs="Arial"/>
          <w:lang w:eastAsia="fr-FR"/>
        </w:rPr>
        <w:br/>
      </w:r>
      <w:r w:rsidR="00054921" w:rsidRPr="00054921">
        <w:rPr>
          <w:rFonts w:ascii="Arial" w:eastAsia="Times New Roman" w:hAnsi="Arial" w:cs="Arial"/>
          <w:noProof/>
          <w:lang w:eastAsia="fr-FR"/>
        </w:rPr>
        <w:drawing>
          <wp:inline distT="0" distB="0" distL="0" distR="0">
            <wp:extent cx="114300" cy="95250"/>
            <wp:effectExtent l="19050" t="0" r="0" b="0"/>
            <wp:docPr id="30" name="Image 30"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00054921" w:rsidRPr="00054921">
        <w:rPr>
          <w:rFonts w:ascii="Arial" w:eastAsia="Times New Roman" w:hAnsi="Arial" w:cs="Arial"/>
          <w:lang w:eastAsia="fr-FR"/>
        </w:rPr>
        <w:t>Crédibilité vis à vis des partenaires (banquiers, clients, fournisseurs).</w:t>
      </w:r>
    </w:p>
    <w:p w:rsidR="00054921" w:rsidRPr="00054921" w:rsidRDefault="00054921" w:rsidP="00054921">
      <w:pPr>
        <w:pStyle w:val="Paragraphedeliste"/>
        <w:numPr>
          <w:ilvl w:val="0"/>
          <w:numId w:val="2"/>
        </w:numPr>
        <w:spacing w:before="100" w:beforeAutospacing="1" w:after="100" w:afterAutospacing="1" w:line="240" w:lineRule="auto"/>
        <w:rPr>
          <w:rFonts w:ascii="Arial" w:eastAsia="Times New Roman" w:hAnsi="Arial" w:cs="Arial"/>
          <w:lang w:eastAsia="fr-FR"/>
        </w:rPr>
      </w:pPr>
      <w:r>
        <w:rPr>
          <w:rFonts w:ascii="Arial" w:eastAsia="Times New Roman" w:hAnsi="Arial" w:cs="Arial"/>
          <w:b/>
          <w:bCs/>
          <w:lang w:eastAsia="fr-FR"/>
        </w:rPr>
        <w:t>Inconvénients :</w:t>
      </w:r>
      <w:r w:rsidRPr="00054921">
        <w:rPr>
          <w:rFonts w:ascii="Arial" w:eastAsia="Times New Roman" w:hAnsi="Arial" w:cs="Arial"/>
          <w:b/>
          <w:bCs/>
          <w:lang w:eastAsia="fr-FR"/>
        </w:rPr>
        <w:br/>
      </w:r>
    </w:p>
    <w:p w:rsidR="00054921" w:rsidRPr="00054921" w:rsidRDefault="00054921" w:rsidP="00054921">
      <w:pPr>
        <w:spacing w:before="100" w:beforeAutospacing="1" w:after="100" w:afterAutospacing="1" w:line="240" w:lineRule="auto"/>
        <w:rPr>
          <w:rFonts w:ascii="Arial" w:eastAsia="Times New Roman" w:hAnsi="Arial" w:cs="Arial"/>
          <w:lang w:eastAsia="fr-FR"/>
        </w:rPr>
      </w:pPr>
      <w:r w:rsidRPr="00054921">
        <w:rPr>
          <w:rFonts w:ascii="Arial" w:eastAsia="Times New Roman" w:hAnsi="Arial" w:cs="Arial"/>
          <w:noProof/>
          <w:lang w:eastAsia="fr-FR"/>
        </w:rPr>
        <w:drawing>
          <wp:inline distT="0" distB="0" distL="0" distR="0">
            <wp:extent cx="114300" cy="95250"/>
            <wp:effectExtent l="19050" t="0" r="0" b="0"/>
            <wp:docPr id="32" name="Image 32"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Frais et formalisme de constitution.</w:t>
      </w:r>
      <w:r w:rsidRPr="00054921">
        <w:rPr>
          <w:rFonts w:ascii="Arial" w:eastAsia="Times New Roman" w:hAnsi="Arial" w:cs="Arial"/>
          <w:lang w:eastAsia="fr-FR"/>
        </w:rPr>
        <w:br/>
      </w:r>
      <w:r w:rsidRPr="00054921">
        <w:rPr>
          <w:rFonts w:ascii="Arial" w:eastAsia="Times New Roman" w:hAnsi="Arial" w:cs="Arial"/>
          <w:noProof/>
          <w:lang w:eastAsia="fr-FR"/>
        </w:rPr>
        <w:drawing>
          <wp:inline distT="0" distB="0" distL="0" distR="0">
            <wp:extent cx="114300" cy="95250"/>
            <wp:effectExtent l="19050" t="0" r="0" b="0"/>
            <wp:docPr id="33" name="Image 33"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Lourdeur du fonctionnement.</w:t>
      </w:r>
      <w:r w:rsidRPr="00054921">
        <w:rPr>
          <w:rFonts w:ascii="Arial" w:eastAsia="Times New Roman" w:hAnsi="Arial" w:cs="Arial"/>
          <w:lang w:eastAsia="fr-FR"/>
        </w:rPr>
        <w:br/>
      </w:r>
      <w:r w:rsidRPr="00054921">
        <w:rPr>
          <w:rFonts w:ascii="Arial" w:eastAsia="Times New Roman" w:hAnsi="Arial" w:cs="Arial"/>
          <w:noProof/>
          <w:lang w:eastAsia="fr-FR"/>
        </w:rPr>
        <w:drawing>
          <wp:inline distT="0" distB="0" distL="0" distR="0">
            <wp:extent cx="114300" cy="95250"/>
            <wp:effectExtent l="19050" t="0" r="0" b="0"/>
            <wp:docPr id="34" name="Image 34"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Instabilité du président (révocation sans préavis et sans indemnité par le conseil d'administration).</w:t>
      </w:r>
      <w:r w:rsidRPr="00054921">
        <w:rPr>
          <w:rFonts w:ascii="Arial" w:eastAsia="Times New Roman" w:hAnsi="Arial" w:cs="Arial"/>
          <w:lang w:eastAsia="fr-FR"/>
        </w:rPr>
        <w:br/>
      </w:r>
      <w:r w:rsidRPr="00054921">
        <w:rPr>
          <w:rFonts w:ascii="Arial" w:eastAsia="Times New Roman" w:hAnsi="Arial" w:cs="Arial"/>
          <w:noProof/>
          <w:lang w:eastAsia="fr-FR"/>
        </w:rPr>
        <w:drawing>
          <wp:inline distT="0" distB="0" distL="0" distR="0">
            <wp:extent cx="114300" cy="95250"/>
            <wp:effectExtent l="19050" t="0" r="0" b="0"/>
            <wp:docPr id="35" name="Image 35" descr="http://media.apce.com/design/front_office_apce/images/newpuce-1/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edia.apce.com/design/front_office_apce/images/newpuce-1/triangle.gif"/>
                    <pic:cNvPicPr>
                      <a:picLocks noChangeAspect="1" noChangeArrowheads="1"/>
                    </pic:cNvPicPr>
                  </pic:nvPicPr>
                  <pic:blipFill>
                    <a:blip r:embed="rId7"/>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054921">
        <w:rPr>
          <w:rFonts w:ascii="Arial" w:eastAsia="Times New Roman" w:hAnsi="Arial" w:cs="Arial"/>
          <w:lang w:eastAsia="fr-FR"/>
        </w:rPr>
        <w:t>Obligation de désigner un commissaire aux comptes.</w:t>
      </w:r>
    </w:p>
    <w:p w:rsidR="0036044E" w:rsidRDefault="0036044E"/>
    <w:sectPr w:rsidR="0036044E" w:rsidSect="00054921">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ED2" w:rsidRDefault="00D22ED2" w:rsidP="00054921">
      <w:pPr>
        <w:spacing w:after="0" w:line="240" w:lineRule="auto"/>
      </w:pPr>
      <w:r>
        <w:separator/>
      </w:r>
    </w:p>
  </w:endnote>
  <w:endnote w:type="continuationSeparator" w:id="1">
    <w:p w:rsidR="00D22ED2" w:rsidRDefault="00D22ED2" w:rsidP="00054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56907"/>
      <w:docPartObj>
        <w:docPartGallery w:val="Page Numbers (Bottom of Page)"/>
        <w:docPartUnique/>
      </w:docPartObj>
    </w:sdtPr>
    <w:sdtContent>
      <w:p w:rsidR="00054921" w:rsidRDefault="00AC55BB">
        <w:pPr>
          <w:pStyle w:val="Pieddepage"/>
          <w:jc w:val="right"/>
        </w:pPr>
        <w:fldSimple w:instr=" PAGE   \* MERGEFORMAT ">
          <w:r w:rsidR="00C02E2F">
            <w:rPr>
              <w:noProof/>
            </w:rPr>
            <w:t>3</w:t>
          </w:r>
        </w:fldSimple>
      </w:p>
    </w:sdtContent>
  </w:sdt>
  <w:p w:rsidR="00054921" w:rsidRDefault="000549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ED2" w:rsidRDefault="00D22ED2" w:rsidP="00054921">
      <w:pPr>
        <w:spacing w:after="0" w:line="240" w:lineRule="auto"/>
      </w:pPr>
      <w:r>
        <w:separator/>
      </w:r>
    </w:p>
  </w:footnote>
  <w:footnote w:type="continuationSeparator" w:id="1">
    <w:p w:rsidR="00D22ED2" w:rsidRDefault="00D22ED2" w:rsidP="000549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media.apce.com/design/front_office_apce/images/newpuce-1/triangle.gif" style="width:9pt;height:7.5pt;visibility:visible;mso-wrap-style:square" o:bullet="t">
        <v:imagedata r:id="rId1" o:title="triangle"/>
      </v:shape>
    </w:pict>
  </w:numPicBullet>
  <w:abstractNum w:abstractNumId="0">
    <w:nsid w:val="00AF7A2E"/>
    <w:multiLevelType w:val="hybridMultilevel"/>
    <w:tmpl w:val="718449B0"/>
    <w:lvl w:ilvl="0" w:tplc="D814334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A64F1C"/>
    <w:multiLevelType w:val="multilevel"/>
    <w:tmpl w:val="467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C71EE1"/>
    <w:multiLevelType w:val="hybridMultilevel"/>
    <w:tmpl w:val="F4EA3870"/>
    <w:lvl w:ilvl="0" w:tplc="CE506602">
      <w:start w:val="4"/>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54921"/>
    <w:rsid w:val="00054921"/>
    <w:rsid w:val="0036044E"/>
    <w:rsid w:val="005A291A"/>
    <w:rsid w:val="008A39C9"/>
    <w:rsid w:val="00AC55BB"/>
    <w:rsid w:val="00C02E2F"/>
    <w:rsid w:val="00D22E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4E"/>
  </w:style>
  <w:style w:type="paragraph" w:styleId="Titre4">
    <w:name w:val="heading 4"/>
    <w:basedOn w:val="Normal"/>
    <w:link w:val="Titre4Car"/>
    <w:uiPriority w:val="9"/>
    <w:qFormat/>
    <w:rsid w:val="000549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54921"/>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0549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54921"/>
    <w:rPr>
      <w:color w:val="0000FF"/>
      <w:u w:val="single"/>
    </w:rPr>
  </w:style>
  <w:style w:type="character" w:styleId="lev">
    <w:name w:val="Strong"/>
    <w:basedOn w:val="Policepardfaut"/>
    <w:uiPriority w:val="22"/>
    <w:qFormat/>
    <w:rsid w:val="00054921"/>
    <w:rPr>
      <w:b/>
      <w:bCs/>
    </w:rPr>
  </w:style>
  <w:style w:type="paragraph" w:styleId="Textedebulles">
    <w:name w:val="Balloon Text"/>
    <w:basedOn w:val="Normal"/>
    <w:link w:val="TextedebullesCar"/>
    <w:uiPriority w:val="99"/>
    <w:semiHidden/>
    <w:unhideWhenUsed/>
    <w:rsid w:val="000549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4921"/>
    <w:rPr>
      <w:rFonts w:ascii="Tahoma" w:hAnsi="Tahoma" w:cs="Tahoma"/>
      <w:sz w:val="16"/>
      <w:szCs w:val="16"/>
    </w:rPr>
  </w:style>
  <w:style w:type="paragraph" w:styleId="Paragraphedeliste">
    <w:name w:val="List Paragraph"/>
    <w:basedOn w:val="Normal"/>
    <w:uiPriority w:val="34"/>
    <w:qFormat/>
    <w:rsid w:val="00054921"/>
    <w:pPr>
      <w:ind w:left="720"/>
      <w:contextualSpacing/>
    </w:pPr>
  </w:style>
  <w:style w:type="paragraph" w:styleId="En-tte">
    <w:name w:val="header"/>
    <w:basedOn w:val="Normal"/>
    <w:link w:val="En-tteCar"/>
    <w:uiPriority w:val="99"/>
    <w:semiHidden/>
    <w:unhideWhenUsed/>
    <w:rsid w:val="0005492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4921"/>
  </w:style>
  <w:style w:type="paragraph" w:styleId="Pieddepage">
    <w:name w:val="footer"/>
    <w:basedOn w:val="Normal"/>
    <w:link w:val="PieddepageCar"/>
    <w:uiPriority w:val="99"/>
    <w:unhideWhenUsed/>
    <w:rsid w:val="000549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921"/>
  </w:style>
</w:styles>
</file>

<file path=word/webSettings.xml><?xml version="1.0" encoding="utf-8"?>
<w:webSettings xmlns:r="http://schemas.openxmlformats.org/officeDocument/2006/relationships" xmlns:w="http://schemas.openxmlformats.org/wordprocessingml/2006/main">
  <w:divs>
    <w:div w:id="958876413">
      <w:bodyDiv w:val="1"/>
      <w:marLeft w:val="0"/>
      <w:marRight w:val="0"/>
      <w:marTop w:val="0"/>
      <w:marBottom w:val="0"/>
      <w:divBdr>
        <w:top w:val="none" w:sz="0" w:space="0" w:color="auto"/>
        <w:left w:val="none" w:sz="0" w:space="0" w:color="auto"/>
        <w:bottom w:val="none" w:sz="0" w:space="0" w:color="auto"/>
        <w:right w:val="none" w:sz="0" w:space="0" w:color="auto"/>
      </w:divBdr>
      <w:divsChild>
        <w:div w:id="649479044">
          <w:marLeft w:val="0"/>
          <w:marRight w:val="0"/>
          <w:marTop w:val="0"/>
          <w:marBottom w:val="0"/>
          <w:divBdr>
            <w:top w:val="none" w:sz="0" w:space="0" w:color="auto"/>
            <w:left w:val="none" w:sz="0" w:space="0" w:color="auto"/>
            <w:bottom w:val="none" w:sz="0" w:space="0" w:color="auto"/>
            <w:right w:val="none" w:sz="0" w:space="0" w:color="auto"/>
          </w:divBdr>
          <w:divsChild>
            <w:div w:id="14037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848</Words>
  <Characters>4666</Characters>
  <Application>Microsoft Office Word</Application>
  <DocSecurity>0</DocSecurity>
  <Lines>38</Lines>
  <Paragraphs>11</Paragraphs>
  <ScaleCrop>false</ScaleCrop>
  <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3</cp:revision>
  <cp:lastPrinted>2010-12-13T18:15:00Z</cp:lastPrinted>
  <dcterms:created xsi:type="dcterms:W3CDTF">2010-01-02T15:24:00Z</dcterms:created>
  <dcterms:modified xsi:type="dcterms:W3CDTF">2010-12-13T18:15:00Z</dcterms:modified>
</cp:coreProperties>
</file>