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046579"/>
        <w:docPartObj>
          <w:docPartGallery w:val="Cover Pages"/>
          <w:docPartUnique/>
        </w:docPartObj>
      </w:sdtPr>
      <w:sdtContent>
        <w:tbl>
          <w:tblPr>
            <w:tblpPr w:leftFromText="187" w:rightFromText="187" w:vertAnchor="page" w:horzAnchor="page" w:tblpYSpec="top"/>
            <w:tblW w:w="0" w:type="auto"/>
            <w:tblLook w:val="04A0"/>
          </w:tblPr>
          <w:tblGrid>
            <w:gridCol w:w="1440"/>
            <w:gridCol w:w="2520"/>
          </w:tblGrid>
          <w:tr w:rsidR="00F15EC6">
            <w:trPr>
              <w:trHeight w:val="1440"/>
            </w:trPr>
            <w:tc>
              <w:tcPr>
                <w:tcW w:w="1440" w:type="dxa"/>
                <w:tcBorders>
                  <w:right w:val="single" w:sz="4" w:space="0" w:color="FFFFFF" w:themeColor="background1"/>
                </w:tcBorders>
                <w:shd w:val="clear" w:color="auto" w:fill="943634" w:themeFill="accent2" w:themeFillShade="BF"/>
              </w:tcPr>
              <w:p w:rsidR="00F15EC6" w:rsidRDefault="00F15EC6"/>
            </w:tc>
            <w:sdt>
              <w:sdtPr>
                <w:rPr>
                  <w:rFonts w:asciiTheme="majorHAnsi" w:eastAsiaTheme="majorEastAsia" w:hAnsiTheme="majorHAnsi" w:cstheme="majorBidi"/>
                  <w:b/>
                  <w:bCs/>
                  <w:color w:val="FFFFFF" w:themeColor="background1"/>
                  <w:sz w:val="72"/>
                  <w:szCs w:val="72"/>
                </w:rPr>
                <w:alias w:val="Année"/>
                <w:id w:val="15676118"/>
                <w:dataBinding w:prefixMappings="xmlns:ns0='http://schemas.microsoft.com/office/2006/coverPageProps'" w:xpath="/ns0:CoverPageProperties[1]/ns0:PublishDate[1]" w:storeItemID="{55AF091B-3C7A-41E3-B477-F2FDAA23CFDA}"/>
                <w:date w:fullDate="2011-01-01T00:00:00Z">
                  <w:dateFormat w:val="yyyy"/>
                  <w:lid w:val="fr-FR"/>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F15EC6" w:rsidRDefault="00F15EC6" w:rsidP="00F15EC6">
                    <w:pPr>
                      <w:pStyle w:val="Sansinterligne"/>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2011</w:t>
                    </w:r>
                  </w:p>
                </w:tc>
              </w:sdtContent>
            </w:sdt>
          </w:tr>
          <w:tr w:rsidR="00F15EC6">
            <w:trPr>
              <w:trHeight w:val="2880"/>
            </w:trPr>
            <w:tc>
              <w:tcPr>
                <w:tcW w:w="1440" w:type="dxa"/>
                <w:tcBorders>
                  <w:right w:val="single" w:sz="4" w:space="0" w:color="000000" w:themeColor="text1"/>
                </w:tcBorders>
              </w:tcPr>
              <w:p w:rsidR="00F15EC6" w:rsidRDefault="00F15EC6"/>
            </w:tc>
            <w:tc>
              <w:tcPr>
                <w:tcW w:w="2520" w:type="dxa"/>
                <w:tcBorders>
                  <w:left w:val="single" w:sz="4" w:space="0" w:color="000000" w:themeColor="text1"/>
                </w:tcBorders>
                <w:vAlign w:val="center"/>
              </w:tcPr>
              <w:sdt>
                <w:sdtPr>
                  <w:rPr>
                    <w:color w:val="76923C" w:themeColor="accent3" w:themeShade="BF"/>
                  </w:rPr>
                  <w:alias w:val="Société"/>
                  <w:id w:val="15676123"/>
                  <w:dataBinding w:prefixMappings="xmlns:ns0='http://schemas.openxmlformats.org/officeDocument/2006/extended-properties'" w:xpath="/ns0:Properties[1]/ns0:Company[1]" w:storeItemID="{6668398D-A668-4E3E-A5EB-62B293D839F1}"/>
                  <w:text/>
                </w:sdtPr>
                <w:sdtContent>
                  <w:p w:rsidR="00F15EC6" w:rsidRDefault="00F15EC6">
                    <w:pPr>
                      <w:pStyle w:val="Sansinterligne"/>
                      <w:rPr>
                        <w:color w:val="76923C" w:themeColor="accent3" w:themeShade="BF"/>
                      </w:rPr>
                    </w:pPr>
                    <w:r>
                      <w:rPr>
                        <w:color w:val="76923C" w:themeColor="accent3" w:themeShade="BF"/>
                      </w:rPr>
                      <w:t>EISTI</w:t>
                    </w:r>
                  </w:p>
                </w:sdtContent>
              </w:sdt>
              <w:p w:rsidR="00F15EC6" w:rsidRDefault="00F15EC6">
                <w:pPr>
                  <w:pStyle w:val="Sansinterligne"/>
                  <w:rPr>
                    <w:color w:val="76923C" w:themeColor="accent3" w:themeShade="BF"/>
                  </w:rPr>
                </w:pPr>
              </w:p>
              <w:sdt>
                <w:sdtPr>
                  <w:rPr>
                    <w:color w:val="76923C" w:themeColor="accent3" w:themeShade="BF"/>
                  </w:rPr>
                  <w:alias w:val="Auteur"/>
                  <w:id w:val="15676130"/>
                  <w:dataBinding w:prefixMappings="xmlns:ns0='http://schemas.openxmlformats.org/package/2006/metadata/core-properties' xmlns:ns1='http://purl.org/dc/elements/1.1/'" w:xpath="/ns0:coreProperties[1]/ns1:creator[1]" w:storeItemID="{6C3C8BC8-F283-45AE-878A-BAB7291924A1}"/>
                  <w:text/>
                </w:sdtPr>
                <w:sdtContent>
                  <w:p w:rsidR="00F15EC6" w:rsidRDefault="00F15EC6">
                    <w:pPr>
                      <w:pStyle w:val="Sansinterligne"/>
                      <w:rPr>
                        <w:color w:val="76923C" w:themeColor="accent3" w:themeShade="BF"/>
                      </w:rPr>
                    </w:pPr>
                    <w:r>
                      <w:rPr>
                        <w:color w:val="76923C" w:themeColor="accent3" w:themeShade="BF"/>
                      </w:rPr>
                      <w:t xml:space="preserve">BOILLOT Florent, DELVAUX Nicolas, </w:t>
                    </w:r>
                    <w:r w:rsidRPr="006E4439">
                      <w:rPr>
                        <w:color w:val="76923C" w:themeColor="accent3" w:themeShade="BF"/>
                      </w:rPr>
                      <w:t xml:space="preserve"> HATIER Laurent</w:t>
                    </w:r>
                    <w:r>
                      <w:rPr>
                        <w:color w:val="76923C" w:themeColor="accent3" w:themeShade="BF"/>
                      </w:rPr>
                      <w:t xml:space="preserve"> et MACHIZAUD Andréa</w:t>
                    </w:r>
                  </w:p>
                </w:sdtContent>
              </w:sdt>
              <w:p w:rsidR="00F15EC6" w:rsidRDefault="00F15EC6">
                <w:pPr>
                  <w:pStyle w:val="Sansinterligne"/>
                  <w:rPr>
                    <w:color w:val="76923C" w:themeColor="accent3" w:themeShade="BF"/>
                  </w:rPr>
                </w:pPr>
              </w:p>
            </w:tc>
          </w:tr>
        </w:tbl>
        <w:p w:rsidR="00F15EC6" w:rsidRDefault="00F15EC6"/>
        <w:p w:rsidR="00F15EC6" w:rsidRDefault="00F15EC6"/>
        <w:tbl>
          <w:tblPr>
            <w:tblpPr w:leftFromText="187" w:rightFromText="187" w:horzAnchor="margin" w:tblpXSpec="center" w:tblpYSpec="bottom"/>
            <w:tblW w:w="5000" w:type="pct"/>
            <w:tblLook w:val="04A0"/>
          </w:tblPr>
          <w:tblGrid>
            <w:gridCol w:w="9288"/>
          </w:tblGrid>
          <w:tr w:rsidR="00F15EC6">
            <w:tc>
              <w:tcPr>
                <w:tcW w:w="0" w:type="auto"/>
              </w:tcPr>
              <w:p w:rsidR="00F15EC6" w:rsidRDefault="00F15EC6" w:rsidP="00196516">
                <w:pPr>
                  <w:pStyle w:val="Sansinterligne"/>
                  <w:rPr>
                    <w:b/>
                    <w:bCs/>
                    <w:caps/>
                    <w:sz w:val="72"/>
                    <w:szCs w:val="72"/>
                  </w:rPr>
                </w:pPr>
                <w:r>
                  <w:rPr>
                    <w:b/>
                    <w:bCs/>
                    <w:caps/>
                    <w:color w:val="76923C" w:themeColor="accent3" w:themeShade="BF"/>
                    <w:sz w:val="72"/>
                    <w:szCs w:val="72"/>
                  </w:rPr>
                  <w:t>[</w:t>
                </w:r>
                <w:sdt>
                  <w:sdtPr>
                    <w:rPr>
                      <w:b/>
                      <w:bCs/>
                      <w:caps/>
                      <w:sz w:val="72"/>
                      <w:szCs w:val="72"/>
                    </w:rPr>
                    <w:alias w:val="Titre"/>
                    <w:id w:val="15676137"/>
                    <w:dataBinding w:prefixMappings="xmlns:ns0='http://schemas.openxmlformats.org/package/2006/metadata/core-properties' xmlns:ns1='http://purl.org/dc/elements/1.1/'" w:xpath="/ns0:coreProperties[1]/ns1:title[1]" w:storeItemID="{6C3C8BC8-F283-45AE-878A-BAB7291924A1}"/>
                    <w:text/>
                  </w:sdtPr>
                  <w:sdtContent>
                    <w:r w:rsidR="00196516">
                      <w:rPr>
                        <w:b/>
                        <w:bCs/>
                        <w:caps/>
                        <w:sz w:val="72"/>
                        <w:szCs w:val="72"/>
                      </w:rPr>
                      <w:t>RAPPORT – PROJET BATIBOIS</w:t>
                    </w:r>
                  </w:sdtContent>
                </w:sdt>
                <w:r>
                  <w:rPr>
                    <w:b/>
                    <w:bCs/>
                    <w:caps/>
                    <w:color w:val="76923C" w:themeColor="accent3" w:themeShade="BF"/>
                    <w:sz w:val="72"/>
                    <w:szCs w:val="72"/>
                  </w:rPr>
                  <w:t>]</w:t>
                </w:r>
              </w:p>
            </w:tc>
          </w:tr>
          <w:tr w:rsidR="00F15EC6">
            <w:sdt>
              <w:sdtPr>
                <w:rPr>
                  <w:color w:val="7F7F7F" w:themeColor="background1" w:themeShade="7F"/>
                </w:rPr>
                <w:alias w:val="Résumé"/>
                <w:id w:val="15676143"/>
                <w:dataBinding w:prefixMappings="xmlns:ns0='http://schemas.microsoft.com/office/2006/coverPageProps'" w:xpath="/ns0:CoverPageProperties[1]/ns0:Abstract[1]" w:storeItemID="{55AF091B-3C7A-41E3-B477-F2FDAA23CFDA}"/>
                <w:text/>
              </w:sdtPr>
              <w:sdtContent>
                <w:tc>
                  <w:tcPr>
                    <w:tcW w:w="0" w:type="auto"/>
                  </w:tcPr>
                  <w:p w:rsidR="00F15EC6" w:rsidRDefault="00196516" w:rsidP="006D34EC">
                    <w:pPr>
                      <w:pStyle w:val="Sansinterligne"/>
                      <w:rPr>
                        <w:color w:val="7F7F7F" w:themeColor="background1" w:themeShade="7F"/>
                      </w:rPr>
                    </w:pPr>
                    <w:r>
                      <w:rPr>
                        <w:color w:val="7F7F7F" w:themeColor="background1" w:themeShade="7F"/>
                      </w:rPr>
                      <w:t xml:space="preserve">Etude de cas de l’entreprise </w:t>
                    </w:r>
                    <w:proofErr w:type="spellStart"/>
                    <w:r>
                      <w:rPr>
                        <w:color w:val="7F7F7F" w:themeColor="background1" w:themeShade="7F"/>
                      </w:rPr>
                      <w:t>Batibois</w:t>
                    </w:r>
                    <w:proofErr w:type="spellEnd"/>
                    <w:r>
                      <w:rPr>
                        <w:color w:val="7F7F7F" w:themeColor="background1" w:themeShade="7F"/>
                      </w:rPr>
                      <w:t xml:space="preserve">. Différents axes d’étude (BFR, CA, </w:t>
                    </w:r>
                    <w:r w:rsidR="006D34EC">
                      <w:rPr>
                        <w:color w:val="7F7F7F" w:themeColor="background1" w:themeShade="7F"/>
                      </w:rPr>
                      <w:t>Salaires</w:t>
                    </w:r>
                    <w:r>
                      <w:rPr>
                        <w:color w:val="7F7F7F" w:themeColor="background1" w:themeShade="7F"/>
                      </w:rPr>
                      <w:t>, etc…)</w:t>
                    </w:r>
                  </w:p>
                </w:tc>
              </w:sdtContent>
            </w:sdt>
          </w:tr>
        </w:tbl>
        <w:p w:rsidR="00F15EC6" w:rsidRDefault="00F15EC6"/>
        <w:p w:rsidR="00F15EC6" w:rsidRDefault="00F15EC6">
          <w:r>
            <w:br w:type="page"/>
          </w:r>
        </w:p>
      </w:sdtContent>
    </w:sdt>
    <w:sdt>
      <w:sdtPr>
        <w:rPr>
          <w:rFonts w:asciiTheme="minorHAnsi" w:eastAsiaTheme="minorHAnsi" w:hAnsiTheme="minorHAnsi" w:cstheme="minorBidi"/>
          <w:b w:val="0"/>
          <w:bCs w:val="0"/>
          <w:color w:val="auto"/>
          <w:sz w:val="22"/>
          <w:szCs w:val="22"/>
        </w:rPr>
        <w:id w:val="4046618"/>
        <w:docPartObj>
          <w:docPartGallery w:val="Table of Contents"/>
          <w:docPartUnique/>
        </w:docPartObj>
      </w:sdtPr>
      <w:sdtContent>
        <w:p w:rsidR="00AD60AC" w:rsidRDefault="00AD60AC">
          <w:pPr>
            <w:pStyle w:val="En-ttedetabledesmatires"/>
          </w:pPr>
          <w:r>
            <w:t>Sommaire</w:t>
          </w:r>
        </w:p>
        <w:p w:rsidR="009C79C6" w:rsidRPr="009C79C6" w:rsidRDefault="009C79C6" w:rsidP="009C79C6"/>
        <w:p w:rsidR="00A66969" w:rsidRDefault="002D24F0">
          <w:pPr>
            <w:pStyle w:val="TM1"/>
            <w:tabs>
              <w:tab w:val="right" w:leader="dot" w:pos="9062"/>
            </w:tabs>
            <w:rPr>
              <w:rFonts w:eastAsiaTheme="minorEastAsia"/>
              <w:noProof/>
              <w:lang w:eastAsia="fr-FR"/>
            </w:rPr>
          </w:pPr>
          <w:r>
            <w:fldChar w:fldCharType="begin"/>
          </w:r>
          <w:r w:rsidR="00AD60AC">
            <w:instrText xml:space="preserve"> TOC \o "1-3" \h \z \u </w:instrText>
          </w:r>
          <w:r>
            <w:fldChar w:fldCharType="separate"/>
          </w:r>
          <w:hyperlink w:anchor="_Toc289702387" w:history="1">
            <w:r w:rsidR="00A66969" w:rsidRPr="00E06727">
              <w:rPr>
                <w:rStyle w:val="Lienhypertexte"/>
                <w:noProof/>
              </w:rPr>
              <w:t>Question 1</w:t>
            </w:r>
            <w:r w:rsidR="00A66969">
              <w:rPr>
                <w:noProof/>
                <w:webHidden/>
              </w:rPr>
              <w:tab/>
            </w:r>
            <w:r>
              <w:rPr>
                <w:noProof/>
                <w:webHidden/>
              </w:rPr>
              <w:fldChar w:fldCharType="begin"/>
            </w:r>
            <w:r w:rsidR="00A66969">
              <w:rPr>
                <w:noProof/>
                <w:webHidden/>
              </w:rPr>
              <w:instrText xml:space="preserve"> PAGEREF _Toc289702387 \h </w:instrText>
            </w:r>
            <w:r>
              <w:rPr>
                <w:noProof/>
                <w:webHidden/>
              </w:rPr>
            </w:r>
            <w:r>
              <w:rPr>
                <w:noProof/>
                <w:webHidden/>
              </w:rPr>
              <w:fldChar w:fldCharType="separate"/>
            </w:r>
            <w:r w:rsidR="002F1D6A">
              <w:rPr>
                <w:noProof/>
                <w:webHidden/>
              </w:rPr>
              <w:t>3</w:t>
            </w:r>
            <w:r>
              <w:rPr>
                <w:noProof/>
                <w:webHidden/>
              </w:rPr>
              <w:fldChar w:fldCharType="end"/>
            </w:r>
          </w:hyperlink>
        </w:p>
        <w:p w:rsidR="00A66969" w:rsidRDefault="002D24F0">
          <w:pPr>
            <w:pStyle w:val="TM1"/>
            <w:tabs>
              <w:tab w:val="right" w:leader="dot" w:pos="9062"/>
            </w:tabs>
            <w:rPr>
              <w:rFonts w:eastAsiaTheme="minorEastAsia"/>
              <w:noProof/>
              <w:lang w:eastAsia="fr-FR"/>
            </w:rPr>
          </w:pPr>
          <w:hyperlink w:anchor="_Toc289702388" w:history="1">
            <w:r w:rsidR="00A66969" w:rsidRPr="00E06727">
              <w:rPr>
                <w:rStyle w:val="Lienhypertexte"/>
                <w:noProof/>
              </w:rPr>
              <w:t>Question 2a</w:t>
            </w:r>
            <w:r w:rsidR="00A66969">
              <w:rPr>
                <w:noProof/>
                <w:webHidden/>
              </w:rPr>
              <w:tab/>
            </w:r>
            <w:r>
              <w:rPr>
                <w:noProof/>
                <w:webHidden/>
              </w:rPr>
              <w:fldChar w:fldCharType="begin"/>
            </w:r>
            <w:r w:rsidR="00A66969">
              <w:rPr>
                <w:noProof/>
                <w:webHidden/>
              </w:rPr>
              <w:instrText xml:space="preserve"> PAGEREF _Toc289702388 \h </w:instrText>
            </w:r>
            <w:r>
              <w:rPr>
                <w:noProof/>
                <w:webHidden/>
              </w:rPr>
            </w:r>
            <w:r>
              <w:rPr>
                <w:noProof/>
                <w:webHidden/>
              </w:rPr>
              <w:fldChar w:fldCharType="separate"/>
            </w:r>
            <w:r w:rsidR="002F1D6A">
              <w:rPr>
                <w:noProof/>
                <w:webHidden/>
              </w:rPr>
              <w:t>4</w:t>
            </w:r>
            <w:r>
              <w:rPr>
                <w:noProof/>
                <w:webHidden/>
              </w:rPr>
              <w:fldChar w:fldCharType="end"/>
            </w:r>
          </w:hyperlink>
        </w:p>
        <w:p w:rsidR="00A66969" w:rsidRDefault="002D24F0">
          <w:pPr>
            <w:pStyle w:val="TM1"/>
            <w:tabs>
              <w:tab w:val="right" w:leader="dot" w:pos="9062"/>
            </w:tabs>
            <w:rPr>
              <w:rFonts w:eastAsiaTheme="minorEastAsia"/>
              <w:noProof/>
              <w:lang w:eastAsia="fr-FR"/>
            </w:rPr>
          </w:pPr>
          <w:hyperlink w:anchor="_Toc289702389" w:history="1">
            <w:r w:rsidR="00A66969" w:rsidRPr="00E06727">
              <w:rPr>
                <w:rStyle w:val="Lienhypertexte"/>
                <w:noProof/>
              </w:rPr>
              <w:t>Question 2b</w:t>
            </w:r>
            <w:r w:rsidR="00A66969">
              <w:rPr>
                <w:noProof/>
                <w:webHidden/>
              </w:rPr>
              <w:tab/>
            </w:r>
            <w:r>
              <w:rPr>
                <w:noProof/>
                <w:webHidden/>
              </w:rPr>
              <w:fldChar w:fldCharType="begin"/>
            </w:r>
            <w:r w:rsidR="00A66969">
              <w:rPr>
                <w:noProof/>
                <w:webHidden/>
              </w:rPr>
              <w:instrText xml:space="preserve"> PAGEREF _Toc289702389 \h </w:instrText>
            </w:r>
            <w:r>
              <w:rPr>
                <w:noProof/>
                <w:webHidden/>
              </w:rPr>
            </w:r>
            <w:r>
              <w:rPr>
                <w:noProof/>
                <w:webHidden/>
              </w:rPr>
              <w:fldChar w:fldCharType="separate"/>
            </w:r>
            <w:r w:rsidR="002F1D6A">
              <w:rPr>
                <w:noProof/>
                <w:webHidden/>
              </w:rPr>
              <w:t>5</w:t>
            </w:r>
            <w:r>
              <w:rPr>
                <w:noProof/>
                <w:webHidden/>
              </w:rPr>
              <w:fldChar w:fldCharType="end"/>
            </w:r>
          </w:hyperlink>
        </w:p>
        <w:p w:rsidR="00A66969" w:rsidRDefault="002D24F0">
          <w:pPr>
            <w:pStyle w:val="TM1"/>
            <w:tabs>
              <w:tab w:val="right" w:leader="dot" w:pos="9062"/>
            </w:tabs>
            <w:rPr>
              <w:rFonts w:eastAsiaTheme="minorEastAsia"/>
              <w:noProof/>
              <w:lang w:eastAsia="fr-FR"/>
            </w:rPr>
          </w:pPr>
          <w:hyperlink w:anchor="_Toc289702390" w:history="1">
            <w:r w:rsidR="00A66969" w:rsidRPr="00E06727">
              <w:rPr>
                <w:rStyle w:val="Lienhypertexte"/>
                <w:noProof/>
              </w:rPr>
              <w:t>Question 3</w:t>
            </w:r>
            <w:r w:rsidR="00A66969">
              <w:rPr>
                <w:noProof/>
                <w:webHidden/>
              </w:rPr>
              <w:tab/>
            </w:r>
            <w:r>
              <w:rPr>
                <w:noProof/>
                <w:webHidden/>
              </w:rPr>
              <w:fldChar w:fldCharType="begin"/>
            </w:r>
            <w:r w:rsidR="00A66969">
              <w:rPr>
                <w:noProof/>
                <w:webHidden/>
              </w:rPr>
              <w:instrText xml:space="preserve"> PAGEREF _Toc289702390 \h </w:instrText>
            </w:r>
            <w:r>
              <w:rPr>
                <w:noProof/>
                <w:webHidden/>
              </w:rPr>
            </w:r>
            <w:r>
              <w:rPr>
                <w:noProof/>
                <w:webHidden/>
              </w:rPr>
              <w:fldChar w:fldCharType="separate"/>
            </w:r>
            <w:r w:rsidR="002F1D6A">
              <w:rPr>
                <w:noProof/>
                <w:webHidden/>
              </w:rPr>
              <w:t>6</w:t>
            </w:r>
            <w:r>
              <w:rPr>
                <w:noProof/>
                <w:webHidden/>
              </w:rPr>
              <w:fldChar w:fldCharType="end"/>
            </w:r>
          </w:hyperlink>
        </w:p>
        <w:p w:rsidR="00A66969" w:rsidRDefault="002D24F0">
          <w:pPr>
            <w:pStyle w:val="TM1"/>
            <w:tabs>
              <w:tab w:val="right" w:leader="dot" w:pos="9062"/>
            </w:tabs>
            <w:rPr>
              <w:rFonts w:eastAsiaTheme="minorEastAsia"/>
              <w:noProof/>
              <w:lang w:eastAsia="fr-FR"/>
            </w:rPr>
          </w:pPr>
          <w:hyperlink w:anchor="_Toc289702391" w:history="1">
            <w:r w:rsidR="00A66969" w:rsidRPr="00E06727">
              <w:rPr>
                <w:rStyle w:val="Lienhypertexte"/>
                <w:noProof/>
              </w:rPr>
              <w:t>Question 4</w:t>
            </w:r>
            <w:r w:rsidR="00A66969">
              <w:rPr>
                <w:noProof/>
                <w:webHidden/>
              </w:rPr>
              <w:tab/>
            </w:r>
            <w:r>
              <w:rPr>
                <w:noProof/>
                <w:webHidden/>
              </w:rPr>
              <w:fldChar w:fldCharType="begin"/>
            </w:r>
            <w:r w:rsidR="00A66969">
              <w:rPr>
                <w:noProof/>
                <w:webHidden/>
              </w:rPr>
              <w:instrText xml:space="preserve"> PAGEREF _Toc289702391 \h </w:instrText>
            </w:r>
            <w:r>
              <w:rPr>
                <w:noProof/>
                <w:webHidden/>
              </w:rPr>
            </w:r>
            <w:r>
              <w:rPr>
                <w:noProof/>
                <w:webHidden/>
              </w:rPr>
              <w:fldChar w:fldCharType="separate"/>
            </w:r>
            <w:r w:rsidR="002F1D6A">
              <w:rPr>
                <w:noProof/>
                <w:webHidden/>
              </w:rPr>
              <w:t>6</w:t>
            </w:r>
            <w:r>
              <w:rPr>
                <w:noProof/>
                <w:webHidden/>
              </w:rPr>
              <w:fldChar w:fldCharType="end"/>
            </w:r>
          </w:hyperlink>
        </w:p>
        <w:p w:rsidR="00A66969" w:rsidRDefault="002D24F0">
          <w:pPr>
            <w:pStyle w:val="TM1"/>
            <w:tabs>
              <w:tab w:val="right" w:leader="dot" w:pos="9062"/>
            </w:tabs>
            <w:rPr>
              <w:rFonts w:eastAsiaTheme="minorEastAsia"/>
              <w:noProof/>
              <w:lang w:eastAsia="fr-FR"/>
            </w:rPr>
          </w:pPr>
          <w:hyperlink w:anchor="_Toc289702392" w:history="1">
            <w:r w:rsidR="00A66969" w:rsidRPr="00E06727">
              <w:rPr>
                <w:rStyle w:val="Lienhypertexte"/>
                <w:noProof/>
              </w:rPr>
              <w:t>Question 5</w:t>
            </w:r>
            <w:r w:rsidR="00A66969">
              <w:rPr>
                <w:noProof/>
                <w:webHidden/>
              </w:rPr>
              <w:tab/>
            </w:r>
            <w:r>
              <w:rPr>
                <w:noProof/>
                <w:webHidden/>
              </w:rPr>
              <w:fldChar w:fldCharType="begin"/>
            </w:r>
            <w:r w:rsidR="00A66969">
              <w:rPr>
                <w:noProof/>
                <w:webHidden/>
              </w:rPr>
              <w:instrText xml:space="preserve"> PAGEREF _Toc289702392 \h </w:instrText>
            </w:r>
            <w:r>
              <w:rPr>
                <w:noProof/>
                <w:webHidden/>
              </w:rPr>
            </w:r>
            <w:r>
              <w:rPr>
                <w:noProof/>
                <w:webHidden/>
              </w:rPr>
              <w:fldChar w:fldCharType="separate"/>
            </w:r>
            <w:r w:rsidR="002F1D6A">
              <w:rPr>
                <w:noProof/>
                <w:webHidden/>
              </w:rPr>
              <w:t>7</w:t>
            </w:r>
            <w:r>
              <w:rPr>
                <w:noProof/>
                <w:webHidden/>
              </w:rPr>
              <w:fldChar w:fldCharType="end"/>
            </w:r>
          </w:hyperlink>
        </w:p>
        <w:p w:rsidR="00A66969" w:rsidRDefault="002D24F0">
          <w:pPr>
            <w:pStyle w:val="TM1"/>
            <w:tabs>
              <w:tab w:val="right" w:leader="dot" w:pos="9062"/>
            </w:tabs>
            <w:rPr>
              <w:rFonts w:eastAsiaTheme="minorEastAsia"/>
              <w:noProof/>
              <w:lang w:eastAsia="fr-FR"/>
            </w:rPr>
          </w:pPr>
          <w:hyperlink w:anchor="_Toc289702393" w:history="1">
            <w:r w:rsidR="00A66969" w:rsidRPr="00E06727">
              <w:rPr>
                <w:rStyle w:val="Lienhypertexte"/>
                <w:noProof/>
              </w:rPr>
              <w:t>Question 6</w:t>
            </w:r>
            <w:r w:rsidR="00A66969">
              <w:rPr>
                <w:noProof/>
                <w:webHidden/>
              </w:rPr>
              <w:tab/>
            </w:r>
            <w:r>
              <w:rPr>
                <w:noProof/>
                <w:webHidden/>
              </w:rPr>
              <w:fldChar w:fldCharType="begin"/>
            </w:r>
            <w:r w:rsidR="00A66969">
              <w:rPr>
                <w:noProof/>
                <w:webHidden/>
              </w:rPr>
              <w:instrText xml:space="preserve"> PAGEREF _Toc289702393 \h </w:instrText>
            </w:r>
            <w:r>
              <w:rPr>
                <w:noProof/>
                <w:webHidden/>
              </w:rPr>
            </w:r>
            <w:r>
              <w:rPr>
                <w:noProof/>
                <w:webHidden/>
              </w:rPr>
              <w:fldChar w:fldCharType="separate"/>
            </w:r>
            <w:r w:rsidR="002F1D6A">
              <w:rPr>
                <w:noProof/>
                <w:webHidden/>
              </w:rPr>
              <w:t>7</w:t>
            </w:r>
            <w:r>
              <w:rPr>
                <w:noProof/>
                <w:webHidden/>
              </w:rPr>
              <w:fldChar w:fldCharType="end"/>
            </w:r>
          </w:hyperlink>
        </w:p>
        <w:p w:rsidR="00A66969" w:rsidRDefault="002D24F0">
          <w:pPr>
            <w:pStyle w:val="TM1"/>
            <w:tabs>
              <w:tab w:val="right" w:leader="dot" w:pos="9062"/>
            </w:tabs>
            <w:rPr>
              <w:rFonts w:eastAsiaTheme="minorEastAsia"/>
              <w:noProof/>
              <w:lang w:eastAsia="fr-FR"/>
            </w:rPr>
          </w:pPr>
          <w:hyperlink w:anchor="_Toc289702394" w:history="1">
            <w:r w:rsidR="00A66969" w:rsidRPr="00E06727">
              <w:rPr>
                <w:rStyle w:val="Lienhypertexte"/>
                <w:noProof/>
              </w:rPr>
              <w:t>Question 7</w:t>
            </w:r>
            <w:r w:rsidR="00A66969">
              <w:rPr>
                <w:noProof/>
                <w:webHidden/>
              </w:rPr>
              <w:tab/>
            </w:r>
            <w:r>
              <w:rPr>
                <w:noProof/>
                <w:webHidden/>
              </w:rPr>
              <w:fldChar w:fldCharType="begin"/>
            </w:r>
            <w:r w:rsidR="00A66969">
              <w:rPr>
                <w:noProof/>
                <w:webHidden/>
              </w:rPr>
              <w:instrText xml:space="preserve"> PAGEREF _Toc289702394 \h </w:instrText>
            </w:r>
            <w:r>
              <w:rPr>
                <w:noProof/>
                <w:webHidden/>
              </w:rPr>
            </w:r>
            <w:r>
              <w:rPr>
                <w:noProof/>
                <w:webHidden/>
              </w:rPr>
              <w:fldChar w:fldCharType="separate"/>
            </w:r>
            <w:r w:rsidR="002F1D6A">
              <w:rPr>
                <w:noProof/>
                <w:webHidden/>
              </w:rPr>
              <w:t>9</w:t>
            </w:r>
            <w:r>
              <w:rPr>
                <w:noProof/>
                <w:webHidden/>
              </w:rPr>
              <w:fldChar w:fldCharType="end"/>
            </w:r>
          </w:hyperlink>
        </w:p>
        <w:p w:rsidR="00A66969" w:rsidRDefault="002D24F0">
          <w:pPr>
            <w:pStyle w:val="TM1"/>
            <w:tabs>
              <w:tab w:val="right" w:leader="dot" w:pos="9062"/>
            </w:tabs>
            <w:rPr>
              <w:rFonts w:eastAsiaTheme="minorEastAsia"/>
              <w:noProof/>
              <w:lang w:eastAsia="fr-FR"/>
            </w:rPr>
          </w:pPr>
          <w:hyperlink w:anchor="_Toc289702395" w:history="1">
            <w:r w:rsidR="00A66969" w:rsidRPr="00E06727">
              <w:rPr>
                <w:rStyle w:val="Lienhypertexte"/>
                <w:noProof/>
              </w:rPr>
              <w:t>Question 8</w:t>
            </w:r>
            <w:r w:rsidR="00A66969">
              <w:rPr>
                <w:noProof/>
                <w:webHidden/>
              </w:rPr>
              <w:tab/>
            </w:r>
            <w:r>
              <w:rPr>
                <w:noProof/>
                <w:webHidden/>
              </w:rPr>
              <w:fldChar w:fldCharType="begin"/>
            </w:r>
            <w:r w:rsidR="00A66969">
              <w:rPr>
                <w:noProof/>
                <w:webHidden/>
              </w:rPr>
              <w:instrText xml:space="preserve"> PAGEREF _Toc289702395 \h </w:instrText>
            </w:r>
            <w:r>
              <w:rPr>
                <w:noProof/>
                <w:webHidden/>
              </w:rPr>
            </w:r>
            <w:r>
              <w:rPr>
                <w:noProof/>
                <w:webHidden/>
              </w:rPr>
              <w:fldChar w:fldCharType="separate"/>
            </w:r>
            <w:r w:rsidR="002F1D6A">
              <w:rPr>
                <w:noProof/>
                <w:webHidden/>
              </w:rPr>
              <w:t>10</w:t>
            </w:r>
            <w:r>
              <w:rPr>
                <w:noProof/>
                <w:webHidden/>
              </w:rPr>
              <w:fldChar w:fldCharType="end"/>
            </w:r>
          </w:hyperlink>
        </w:p>
        <w:p w:rsidR="00A66969" w:rsidRDefault="002D24F0">
          <w:pPr>
            <w:pStyle w:val="TM1"/>
            <w:tabs>
              <w:tab w:val="right" w:leader="dot" w:pos="9062"/>
            </w:tabs>
            <w:rPr>
              <w:rFonts w:eastAsiaTheme="minorEastAsia"/>
              <w:noProof/>
              <w:lang w:eastAsia="fr-FR"/>
            </w:rPr>
          </w:pPr>
          <w:hyperlink w:anchor="_Toc289702396" w:history="1">
            <w:r w:rsidR="00A66969" w:rsidRPr="00E06727">
              <w:rPr>
                <w:rStyle w:val="Lienhypertexte"/>
                <w:noProof/>
              </w:rPr>
              <w:t>Question 9</w:t>
            </w:r>
            <w:r w:rsidR="00A66969">
              <w:rPr>
                <w:noProof/>
                <w:webHidden/>
              </w:rPr>
              <w:tab/>
            </w:r>
            <w:r>
              <w:rPr>
                <w:noProof/>
                <w:webHidden/>
              </w:rPr>
              <w:fldChar w:fldCharType="begin"/>
            </w:r>
            <w:r w:rsidR="00A66969">
              <w:rPr>
                <w:noProof/>
                <w:webHidden/>
              </w:rPr>
              <w:instrText xml:space="preserve"> PAGEREF _Toc289702396 \h </w:instrText>
            </w:r>
            <w:r>
              <w:rPr>
                <w:noProof/>
                <w:webHidden/>
              </w:rPr>
            </w:r>
            <w:r>
              <w:rPr>
                <w:noProof/>
                <w:webHidden/>
              </w:rPr>
              <w:fldChar w:fldCharType="separate"/>
            </w:r>
            <w:r w:rsidR="002F1D6A">
              <w:rPr>
                <w:noProof/>
                <w:webHidden/>
              </w:rPr>
              <w:t>10</w:t>
            </w:r>
            <w:r>
              <w:rPr>
                <w:noProof/>
                <w:webHidden/>
              </w:rPr>
              <w:fldChar w:fldCharType="end"/>
            </w:r>
          </w:hyperlink>
        </w:p>
        <w:p w:rsidR="00A66969" w:rsidRDefault="002D24F0">
          <w:pPr>
            <w:pStyle w:val="TM1"/>
            <w:tabs>
              <w:tab w:val="right" w:leader="dot" w:pos="9062"/>
            </w:tabs>
            <w:rPr>
              <w:rFonts w:eastAsiaTheme="minorEastAsia"/>
              <w:noProof/>
              <w:lang w:eastAsia="fr-FR"/>
            </w:rPr>
          </w:pPr>
          <w:hyperlink w:anchor="_Toc289702397" w:history="1">
            <w:r w:rsidR="00A66969" w:rsidRPr="00E06727">
              <w:rPr>
                <w:rStyle w:val="Lienhypertexte"/>
                <w:noProof/>
              </w:rPr>
              <w:t>Question 10</w:t>
            </w:r>
            <w:r w:rsidR="00A66969">
              <w:rPr>
                <w:noProof/>
                <w:webHidden/>
              </w:rPr>
              <w:tab/>
            </w:r>
            <w:r>
              <w:rPr>
                <w:noProof/>
                <w:webHidden/>
              </w:rPr>
              <w:fldChar w:fldCharType="begin"/>
            </w:r>
            <w:r w:rsidR="00A66969">
              <w:rPr>
                <w:noProof/>
                <w:webHidden/>
              </w:rPr>
              <w:instrText xml:space="preserve"> PAGEREF _Toc289702397 \h </w:instrText>
            </w:r>
            <w:r>
              <w:rPr>
                <w:noProof/>
                <w:webHidden/>
              </w:rPr>
            </w:r>
            <w:r>
              <w:rPr>
                <w:noProof/>
                <w:webHidden/>
              </w:rPr>
              <w:fldChar w:fldCharType="separate"/>
            </w:r>
            <w:r w:rsidR="002F1D6A">
              <w:rPr>
                <w:noProof/>
                <w:webHidden/>
              </w:rPr>
              <w:t>11</w:t>
            </w:r>
            <w:r>
              <w:rPr>
                <w:noProof/>
                <w:webHidden/>
              </w:rPr>
              <w:fldChar w:fldCharType="end"/>
            </w:r>
          </w:hyperlink>
        </w:p>
        <w:p w:rsidR="00AD60AC" w:rsidRDefault="002D24F0">
          <w:r>
            <w:fldChar w:fldCharType="end"/>
          </w:r>
        </w:p>
      </w:sdtContent>
    </w:sdt>
    <w:p w:rsidR="00AD60AC" w:rsidRDefault="00AD60AC">
      <w:r>
        <w:br w:type="page"/>
      </w:r>
    </w:p>
    <w:p w:rsidR="004459BD" w:rsidRDefault="001D35F8" w:rsidP="001D35F8">
      <w:pPr>
        <w:pStyle w:val="Titre1"/>
      </w:pPr>
      <w:bookmarkStart w:id="0" w:name="_Toc289702387"/>
      <w:r>
        <w:lastRenderedPageBreak/>
        <w:t>Question 1</w:t>
      </w:r>
      <w:bookmarkEnd w:id="0"/>
      <w:r>
        <w:t xml:space="preserve"> </w:t>
      </w:r>
    </w:p>
    <w:p w:rsidR="00D671EA" w:rsidRPr="00D671EA" w:rsidRDefault="00D671EA" w:rsidP="00D671EA"/>
    <w:p w:rsidR="001624F5" w:rsidRDefault="001624F5" w:rsidP="001149CE">
      <w:pPr>
        <w:ind w:left="284" w:firstLine="424"/>
      </w:pPr>
      <w:r w:rsidRPr="001624F5">
        <w:rPr>
          <w:i/>
        </w:rPr>
        <w:t xml:space="preserve">Achats de Matières Premières : </w:t>
      </w:r>
      <w:r>
        <w:t xml:space="preserve">Nous avons donc calculé le montant des matières premières à partir du chiffre d’affaire hors taxe et du pourcentage que représentent les matières premières du CA. Donc </w:t>
      </w:r>
      <w:proofErr w:type="spellStart"/>
      <w:r>
        <w:t>Montant_MP</w:t>
      </w:r>
      <w:proofErr w:type="spellEnd"/>
      <w:r>
        <w:t xml:space="preserve">= </w:t>
      </w:r>
      <w:proofErr w:type="spellStart"/>
      <w:r>
        <w:t>Montant_CA</w:t>
      </w:r>
      <w:proofErr w:type="spellEnd"/>
      <w:r>
        <w:t xml:space="preserve"> * %CA_MP = 960 000€.</w:t>
      </w:r>
    </w:p>
    <w:p w:rsidR="006F752C" w:rsidRDefault="006F752C" w:rsidP="00D671EA">
      <w:pPr>
        <w:ind w:left="284"/>
      </w:pPr>
      <w:r w:rsidRPr="006F752C">
        <w:rPr>
          <w:i/>
        </w:rPr>
        <w:t>Total des charges :</w:t>
      </w:r>
      <w:r>
        <w:t xml:space="preserve"> Le total des charges s’élève à </w:t>
      </w:r>
      <w:r w:rsidR="00756FBC">
        <w:t xml:space="preserve">la somme des charges variables </w:t>
      </w:r>
      <w:r>
        <w:t xml:space="preserve">et </w:t>
      </w:r>
      <w:r w:rsidR="006B2777">
        <w:t xml:space="preserve">des </w:t>
      </w:r>
      <w:r>
        <w:t xml:space="preserve">charges fixes (CT = CF + </w:t>
      </w:r>
      <w:r w:rsidR="00DE779A">
        <w:t>CV). Le total des charges représente, en</w:t>
      </w:r>
      <w:r>
        <w:t xml:space="preserve"> pource</w:t>
      </w:r>
      <w:r w:rsidR="00DE779A">
        <w:t>ntage du CA : le total</w:t>
      </w:r>
      <w:r>
        <w:t xml:space="preserve"> des charges divisé par le chiffre d’affaire</w:t>
      </w:r>
      <w:r w:rsidR="00250468">
        <w:t>.</w:t>
      </w:r>
    </w:p>
    <w:p w:rsidR="00756FBC" w:rsidRDefault="00756FBC" w:rsidP="00D671EA">
      <w:pPr>
        <w:ind w:left="284"/>
      </w:pPr>
      <w:r w:rsidRPr="00756FBC">
        <w:rPr>
          <w:i/>
        </w:rPr>
        <w:t>Bénéfice net avant impôt</w:t>
      </w:r>
      <w:r>
        <w:rPr>
          <w:i/>
        </w:rPr>
        <w:t> :</w:t>
      </w:r>
      <w:r w:rsidR="00AC44D3">
        <w:t xml:space="preserve"> C’est donc le résultat de la soustraction entre le chiffre d’affaire et le total des charges. La représentation en pourcentage du CA se calcule comme ci-dessus : le bénéfice net avant impôt divisé par le chiffre d’affaire.</w:t>
      </w:r>
    </w:p>
    <w:p w:rsidR="00E86EAA" w:rsidRDefault="00E86EAA" w:rsidP="00D671EA">
      <w:pPr>
        <w:ind w:left="284"/>
      </w:pPr>
      <w:r w:rsidRPr="00E86EAA">
        <w:rPr>
          <w:i/>
        </w:rPr>
        <w:t>Impôt sur bénéfice</w:t>
      </w:r>
      <w:r>
        <w:rPr>
          <w:i/>
        </w:rPr>
        <w:t>s</w:t>
      </w:r>
      <w:r w:rsidRPr="00E86EAA">
        <w:rPr>
          <w:i/>
        </w:rPr>
        <w:t> :</w:t>
      </w:r>
      <w:r>
        <w:t xml:space="preserve"> Il représente 1/3 du bénéfice ci-dessus. De même pour le pourcentage en CA.</w:t>
      </w:r>
    </w:p>
    <w:p w:rsidR="003155C7" w:rsidRDefault="003155C7" w:rsidP="00D671EA">
      <w:pPr>
        <w:ind w:left="284"/>
      </w:pPr>
      <w:r w:rsidRPr="003155C7">
        <w:rPr>
          <w:i/>
        </w:rPr>
        <w:t>Bénéfice net après impôt :</w:t>
      </w:r>
      <w:r>
        <w:t xml:space="preserve"> Il faut donc soustraire le bénéfice net avant impôt et le total des impôts perçus sur ce dernier. </w:t>
      </w:r>
      <w:r w:rsidR="0023514C">
        <w:t>(BN2 – Impôts et %CA_BN2 - %</w:t>
      </w:r>
      <w:proofErr w:type="spellStart"/>
      <w:r w:rsidR="0023514C">
        <w:t>CA_Impôts</w:t>
      </w:r>
      <w:proofErr w:type="spellEnd"/>
      <w:r w:rsidR="0023514C">
        <w:t>)</w:t>
      </w:r>
    </w:p>
    <w:p w:rsidR="002E77B9" w:rsidRDefault="00D671EA" w:rsidP="00D671EA">
      <w:pPr>
        <w:ind w:left="284"/>
      </w:pPr>
      <w:r w:rsidRPr="00D671EA">
        <w:rPr>
          <w:i/>
        </w:rPr>
        <w:t xml:space="preserve">CA* et date du </w:t>
      </w:r>
      <w:proofErr w:type="spellStart"/>
      <w:r w:rsidRPr="00D671EA">
        <w:rPr>
          <w:i/>
        </w:rPr>
        <w:t>pay-back</w:t>
      </w:r>
      <w:proofErr w:type="spellEnd"/>
      <w:r>
        <w:rPr>
          <w:i/>
        </w:rPr>
        <w:t> :</w:t>
      </w:r>
      <w:r>
        <w:t xml:space="preserve"> </w:t>
      </w:r>
    </w:p>
    <w:p w:rsidR="002E77B9" w:rsidRDefault="00D671EA" w:rsidP="002E77B9">
      <w:pPr>
        <w:pStyle w:val="Paragraphedeliste"/>
        <w:numPr>
          <w:ilvl w:val="0"/>
          <w:numId w:val="1"/>
        </w:numPr>
      </w:pPr>
      <w:r>
        <w:t>Nous reprenons donc le CA HT se trouvant dans le tableau de gauche ainsi que les charges fixes (égalent à 216 000€). Nous avons donc calculé le rapport CV/CA</w:t>
      </w:r>
      <w:r w:rsidR="00A533C4">
        <w:t>.</w:t>
      </w:r>
      <w:r w:rsidR="00F21680">
        <w:t xml:space="preserve"> Nous reprenons les charges variables du tableau de gauche</w:t>
      </w:r>
      <w:r w:rsidR="00ED00F5">
        <w:t xml:space="preserve">. </w:t>
      </w:r>
    </w:p>
    <w:p w:rsidR="0088225D" w:rsidRDefault="00ED00F5" w:rsidP="002E77B9">
      <w:pPr>
        <w:pStyle w:val="Paragraphedeliste"/>
        <w:numPr>
          <w:ilvl w:val="0"/>
          <w:numId w:val="1"/>
        </w:numPr>
      </w:pPr>
      <w:r>
        <w:t>Nous calculons alors le CA* grâce à la division entre les charges fixes et le taux de marge des coûts variables (TMCV).</w:t>
      </w:r>
    </w:p>
    <w:p w:rsidR="002E77B9" w:rsidRDefault="002E77B9" w:rsidP="002E77B9">
      <w:pPr>
        <w:pStyle w:val="Paragraphedeliste"/>
        <w:numPr>
          <w:ilvl w:val="0"/>
          <w:numId w:val="1"/>
        </w:numPr>
      </w:pPr>
      <w:r>
        <w:t>Pour calculer le nombre de jours avant d’atteindre le CA*, nous avons divisé le CA* par le CA total multiplié par le nombre de jours dans l’année (365 jours).</w:t>
      </w:r>
      <w:r w:rsidR="0010143E">
        <w:t xml:space="preserve"> Nous avons donc trouvé le 25 Juin 2009</w:t>
      </w:r>
      <w:r w:rsidR="002201FD">
        <w:t>.</w:t>
      </w:r>
    </w:p>
    <w:p w:rsidR="00B920A5" w:rsidRDefault="002201FD" w:rsidP="002201FD">
      <w:pPr>
        <w:ind w:left="284"/>
      </w:pPr>
      <w:r w:rsidRPr="002201FD">
        <w:rPr>
          <w:i/>
        </w:rPr>
        <w:t>Effectif de l’année 2009 :</w:t>
      </w:r>
      <w:r>
        <w:t xml:space="preserve"> </w:t>
      </w:r>
    </w:p>
    <w:p w:rsidR="00B920A5" w:rsidRDefault="002201FD" w:rsidP="00B920A5">
      <w:pPr>
        <w:pStyle w:val="Paragraphedeliste"/>
        <w:numPr>
          <w:ilvl w:val="0"/>
          <w:numId w:val="1"/>
        </w:numPr>
      </w:pPr>
      <w:r>
        <w:t>Les salaires bruts en 2009 ont été repris à partir du tableau de gauche dans les charges variables.</w:t>
      </w:r>
    </w:p>
    <w:p w:rsidR="00B920A5" w:rsidRDefault="00CA31FE" w:rsidP="00B920A5">
      <w:pPr>
        <w:pStyle w:val="Paragraphedeliste"/>
        <w:numPr>
          <w:ilvl w:val="0"/>
          <w:numId w:val="1"/>
        </w:numPr>
      </w:pPr>
      <w:r>
        <w:t xml:space="preserve"> Pour calculer l’effectif en 2009, il nous suffit de divisé le total des salaires divisé par le salaire bru</w:t>
      </w:r>
      <w:r w:rsidR="008C5A48">
        <w:t>t pour un employé sur l’année.</w:t>
      </w:r>
      <w:r w:rsidR="00570B41">
        <w:t xml:space="preserve"> </w:t>
      </w:r>
    </w:p>
    <w:p w:rsidR="002201FD" w:rsidRPr="002201FD" w:rsidRDefault="00570B41" w:rsidP="00B920A5">
      <w:pPr>
        <w:pStyle w:val="Paragraphedeliste"/>
        <w:numPr>
          <w:ilvl w:val="0"/>
          <w:numId w:val="1"/>
        </w:numPr>
      </w:pPr>
      <w:r>
        <w:t>La productivité par personne est donc égale au chiffre d’affaire divisé par le nombre d’employés.</w:t>
      </w:r>
    </w:p>
    <w:p w:rsidR="007070FB" w:rsidRDefault="007070FB">
      <w:r>
        <w:br w:type="page"/>
      </w:r>
    </w:p>
    <w:p w:rsidR="001D35F8" w:rsidRDefault="001D35F8" w:rsidP="001D35F8">
      <w:pPr>
        <w:pStyle w:val="Titre1"/>
      </w:pPr>
      <w:bookmarkStart w:id="1" w:name="_Toc289702388"/>
      <w:r>
        <w:lastRenderedPageBreak/>
        <w:t>Question 2a</w:t>
      </w:r>
      <w:bookmarkEnd w:id="1"/>
    </w:p>
    <w:p w:rsidR="00BC61E9" w:rsidRPr="00BC61E9" w:rsidRDefault="00BC61E9" w:rsidP="00BC61E9"/>
    <w:p w:rsidR="0066560E" w:rsidRDefault="00900CF1" w:rsidP="001149CE">
      <w:pPr>
        <w:ind w:left="284" w:firstLine="424"/>
      </w:pPr>
      <w:r w:rsidRPr="00B717BB">
        <w:rPr>
          <w:i/>
        </w:rPr>
        <w:t>Stock</w:t>
      </w:r>
      <w:r w:rsidR="00951A56">
        <w:rPr>
          <w:i/>
        </w:rPr>
        <w:t>s</w:t>
      </w:r>
      <w:r w:rsidRPr="00B717BB">
        <w:rPr>
          <w:i/>
        </w:rPr>
        <w:t xml:space="preserve"> Matières Premières :</w:t>
      </w:r>
      <w:r w:rsidR="0092501C">
        <w:t xml:space="preserve"> Afin de calculer le stock</w:t>
      </w:r>
      <w:r w:rsidR="002127CC">
        <w:t xml:space="preserve"> de MP</w:t>
      </w:r>
      <w:r w:rsidR="0092501C">
        <w:t>, nous prenons le montant calculé à la question précédente (960 000€) puis nous le multiplions par la durée moyenne d’immobilisation (ici 30 jours) divisé par le nombre total de jours dans l’année (nous avons pris ici 360 jours).</w:t>
      </w:r>
    </w:p>
    <w:p w:rsidR="00B717BB" w:rsidRDefault="00B717BB" w:rsidP="00814360">
      <w:pPr>
        <w:ind w:left="284"/>
      </w:pPr>
      <w:r w:rsidRPr="00B717BB">
        <w:rPr>
          <w:i/>
        </w:rPr>
        <w:t>Stock</w:t>
      </w:r>
      <w:r w:rsidR="00951A56">
        <w:rPr>
          <w:i/>
        </w:rPr>
        <w:t>s</w:t>
      </w:r>
      <w:r w:rsidRPr="00B717BB">
        <w:rPr>
          <w:i/>
        </w:rPr>
        <w:t xml:space="preserve"> de Produits </w:t>
      </w:r>
      <w:r w:rsidR="00951A56">
        <w:rPr>
          <w:i/>
        </w:rPr>
        <w:t xml:space="preserve">Semi </w:t>
      </w:r>
      <w:r w:rsidRPr="00B717BB">
        <w:rPr>
          <w:i/>
        </w:rPr>
        <w:t>Finis :</w:t>
      </w:r>
      <w:r>
        <w:t xml:space="preserve"> </w:t>
      </w:r>
      <w:r w:rsidR="002127CC">
        <w:t>Afin de calculer le stock de P</w:t>
      </w:r>
      <w:r w:rsidR="00951A56">
        <w:t>S</w:t>
      </w:r>
      <w:r w:rsidR="002127CC">
        <w:t>F</w:t>
      </w:r>
      <w:r w:rsidR="00E42E00">
        <w:t>, nous prenons 60% du montant du CA</w:t>
      </w:r>
      <w:r w:rsidR="00D014F0">
        <w:t xml:space="preserve"> puis nous le multiplions par la durée moyenne d’immobilisation (ici 20 jour</w:t>
      </w:r>
      <w:r w:rsidR="0088435B">
        <w:t>s</w:t>
      </w:r>
      <w:r w:rsidR="00D014F0">
        <w:t>) divisé par le nombre total de jours dans l’année.</w:t>
      </w:r>
    </w:p>
    <w:p w:rsidR="00951A56" w:rsidRDefault="00951A56" w:rsidP="00951A56">
      <w:pPr>
        <w:ind w:left="284"/>
      </w:pPr>
      <w:r>
        <w:rPr>
          <w:i/>
        </w:rPr>
        <w:t>Stocks de Produits Finis :</w:t>
      </w:r>
      <w:r>
        <w:t xml:space="preserve"> Afin de calculer le stock de PF, nous prenons 80% du montant du CA puis nous le multiplions par la durée moyenne d’immobilisation (ici 10 jours) divisé par le nombre total de jours dans l’année.</w:t>
      </w:r>
    </w:p>
    <w:p w:rsidR="0088435B" w:rsidRDefault="00B06D32" w:rsidP="0088435B">
      <w:pPr>
        <w:ind w:left="284"/>
      </w:pPr>
      <w:r w:rsidRPr="00013FDB">
        <w:rPr>
          <w:i/>
        </w:rPr>
        <w:t>Délai de paiement du Client :</w:t>
      </w:r>
      <w:r w:rsidR="0088435B">
        <w:t xml:space="preserve"> Pour obtenir ce délai, nous allons multiplier le CA avec la durée moyenne d’immobilisation (ici 30 jours) divisé par le nombre total de jours dans l’année.</w:t>
      </w:r>
    </w:p>
    <w:p w:rsidR="00013FDB" w:rsidRDefault="00013FDB" w:rsidP="0088435B">
      <w:pPr>
        <w:ind w:left="284"/>
      </w:pPr>
      <w:r w:rsidRPr="00013FDB">
        <w:rPr>
          <w:i/>
        </w:rPr>
        <w:t>Délai de paiement des fournisseurs des MP :</w:t>
      </w:r>
      <w:r w:rsidR="00D81AE5">
        <w:t xml:space="preserve"> Pour obtenir ce délai, nous allons donc effectuer le même calcul que ci-dessus, mais cette fois-ci, nous prenons le montant des MP au lieu du montant du CA.</w:t>
      </w:r>
    </w:p>
    <w:p w:rsidR="005021CF" w:rsidRDefault="005021CF" w:rsidP="0088435B">
      <w:pPr>
        <w:ind w:left="284"/>
      </w:pPr>
      <w:r w:rsidRPr="005021CF">
        <w:rPr>
          <w:i/>
        </w:rPr>
        <w:t xml:space="preserve">Délai de règlement fournisseurs autres </w:t>
      </w:r>
      <w:proofErr w:type="spellStart"/>
      <w:r w:rsidRPr="005021CF">
        <w:rPr>
          <w:i/>
        </w:rPr>
        <w:t>appros</w:t>
      </w:r>
      <w:proofErr w:type="spellEnd"/>
      <w:r w:rsidRPr="005021CF">
        <w:rPr>
          <w:i/>
        </w:rPr>
        <w:t xml:space="preserve"> et services</w:t>
      </w:r>
      <w:r>
        <w:rPr>
          <w:i/>
        </w:rPr>
        <w:t> :</w:t>
      </w:r>
      <w:r>
        <w:t xml:space="preserve"> Idem que ci-dessus sauf que l’on prend cette fois-ci </w:t>
      </w:r>
      <w:r w:rsidR="006379E0">
        <w:t>le montant « Autre approvisionnement</w:t>
      </w:r>
      <w:r>
        <w:t> »</w:t>
      </w:r>
    </w:p>
    <w:p w:rsidR="00461ED8" w:rsidRDefault="00107D2B" w:rsidP="005C2A37">
      <w:pPr>
        <w:ind w:left="284"/>
      </w:pPr>
      <w:r>
        <w:rPr>
          <w:i/>
        </w:rPr>
        <w:t>Calcul du BFR simplifié :</w:t>
      </w:r>
      <w:r w:rsidR="005C2A37">
        <w:t xml:space="preserve"> </w:t>
      </w:r>
    </w:p>
    <w:p w:rsidR="005C2A37" w:rsidRDefault="007378F2" w:rsidP="00461ED8">
      <w:pPr>
        <w:pStyle w:val="Paragraphedeliste"/>
        <w:numPr>
          <w:ilvl w:val="0"/>
          <w:numId w:val="1"/>
        </w:numPr>
      </w:pPr>
      <w:r>
        <w:t>C</w:t>
      </w:r>
      <w:r w:rsidR="005C2A37">
        <w:t xml:space="preserve">alcul des stocks, nous avons additionné l’ensemble des montants calculés précédemment pour les stocks : soit 80 000 € + 80 000€ + 53 333€  </w:t>
      </w:r>
      <w:r w:rsidR="00A93E85">
        <w:t>= 213 333€</w:t>
      </w:r>
      <w:r w:rsidR="00461ED8">
        <w:t>.</w:t>
      </w:r>
    </w:p>
    <w:p w:rsidR="00461ED8" w:rsidRDefault="00461ED8" w:rsidP="00461ED8">
      <w:pPr>
        <w:pStyle w:val="Paragraphedeliste"/>
        <w:numPr>
          <w:ilvl w:val="0"/>
          <w:numId w:val="1"/>
        </w:numPr>
      </w:pPr>
      <w:r>
        <w:t>Les créances clients : Nous avons repris le calcul du délai paiement des clients.</w:t>
      </w:r>
    </w:p>
    <w:p w:rsidR="00461ED8" w:rsidRDefault="00CC38FC" w:rsidP="00461ED8">
      <w:pPr>
        <w:pStyle w:val="Paragraphedeliste"/>
        <w:numPr>
          <w:ilvl w:val="0"/>
          <w:numId w:val="1"/>
        </w:numPr>
      </w:pPr>
      <w:r>
        <w:t>Dettes fournisseurs : L’addition des délais fournisseurs nous permet de calculer l’ensemble de la dette fournisseur</w:t>
      </w:r>
    </w:p>
    <w:p w:rsidR="00E00A8A" w:rsidRDefault="00E00A8A" w:rsidP="00E00A8A">
      <w:pPr>
        <w:ind w:left="284"/>
      </w:pPr>
      <w:r w:rsidRPr="00E33E27">
        <w:rPr>
          <w:i/>
        </w:rPr>
        <w:t>Le BFR simplifié</w:t>
      </w:r>
      <w:r>
        <w:t xml:space="preserve"> se calcule ainsi : </w:t>
      </w:r>
      <w:r w:rsidR="0071550B">
        <w:t>Stocks + Créances Clients – Dettes.</w:t>
      </w:r>
    </w:p>
    <w:p w:rsidR="008E1105" w:rsidRDefault="008E1105" w:rsidP="00E00A8A">
      <w:pPr>
        <w:ind w:left="284"/>
      </w:pPr>
      <w:r w:rsidRPr="00E33E27">
        <w:rPr>
          <w:i/>
        </w:rPr>
        <w:t>Le BFR  en nombre de jours du CA</w:t>
      </w:r>
      <w:r>
        <w:t xml:space="preserve"> se calcule par le résultat ci-dessus divisé par le CA total, le tout multiplié par le nombre de jours dans l’année.</w:t>
      </w:r>
    </w:p>
    <w:p w:rsidR="00C91DF9" w:rsidRDefault="007A0897" w:rsidP="00814360">
      <w:pPr>
        <w:ind w:left="284"/>
      </w:pPr>
      <w:r w:rsidRPr="00E33E27">
        <w:rPr>
          <w:i/>
        </w:rPr>
        <w:t>Le BFR en pourcentage du CA</w:t>
      </w:r>
      <w:r>
        <w:t xml:space="preserve"> se calcule par le BFR divisé par le CA total</w:t>
      </w:r>
      <w:r w:rsidR="008D08C3">
        <w:t>.</w:t>
      </w:r>
    </w:p>
    <w:p w:rsidR="00C91DF9" w:rsidRDefault="00C91DF9">
      <w:r>
        <w:br w:type="page"/>
      </w:r>
    </w:p>
    <w:p w:rsidR="001D35F8" w:rsidRDefault="001D35F8" w:rsidP="001D35F8">
      <w:pPr>
        <w:pStyle w:val="Titre1"/>
      </w:pPr>
      <w:bookmarkStart w:id="2" w:name="_Toc289702389"/>
      <w:r>
        <w:lastRenderedPageBreak/>
        <w:t>Question 2b</w:t>
      </w:r>
      <w:bookmarkEnd w:id="2"/>
    </w:p>
    <w:p w:rsidR="00C91DF9" w:rsidRDefault="00C91DF9" w:rsidP="00C91DF9">
      <w:pPr>
        <w:ind w:left="284"/>
      </w:pPr>
    </w:p>
    <w:p w:rsidR="00C91DF9" w:rsidRDefault="00C91DF9" w:rsidP="001149CE">
      <w:pPr>
        <w:ind w:left="284" w:firstLine="424"/>
      </w:pPr>
      <w:r w:rsidRPr="00E33E27">
        <w:rPr>
          <w:i/>
        </w:rPr>
        <w:t>L’actif cyclique pour la Matière Première</w:t>
      </w:r>
      <w:r>
        <w:t xml:space="preserve"> se calcule grâce au CA multiplié par le pourcentage que représente</w:t>
      </w:r>
      <w:r w:rsidR="008432F6">
        <w:t>nt</w:t>
      </w:r>
      <w:r>
        <w:t xml:space="preserve"> les MP dans le CA multiplié par la durée moyenne d’immobilisation divisé par le nombre de jours total de l’année</w:t>
      </w:r>
      <w:r w:rsidR="00A0028F">
        <w:t>.</w:t>
      </w:r>
    </w:p>
    <w:p w:rsidR="00BF73DE" w:rsidRDefault="00BF73DE" w:rsidP="00C91DF9">
      <w:pPr>
        <w:ind w:left="284"/>
      </w:pPr>
      <w:r w:rsidRPr="00E33E27">
        <w:rPr>
          <w:i/>
        </w:rPr>
        <w:t>Pour les produits semi-finis et finis</w:t>
      </w:r>
      <w:r>
        <w:t>, on reprend les valeurs trouvées dans le tableau précédent (80 000€ et 53 333€).</w:t>
      </w:r>
    </w:p>
    <w:p w:rsidR="00BF73DE" w:rsidRDefault="00BF73DE" w:rsidP="00C91DF9">
      <w:pPr>
        <w:ind w:left="284"/>
      </w:pPr>
      <w:r w:rsidRPr="00E33E27">
        <w:rPr>
          <w:i/>
        </w:rPr>
        <w:t>Les créances clients</w:t>
      </w:r>
      <w:r>
        <w:t xml:space="preserve"> </w:t>
      </w:r>
      <w:r w:rsidR="00A70D1E">
        <w:t>(à 45 jours de CA TTC)</w:t>
      </w:r>
      <w:r w:rsidR="00593F19">
        <w:t xml:space="preserve"> se calculent </w:t>
      </w:r>
      <w:r w:rsidR="005E2A4D">
        <w:t xml:space="preserve">par la multiplication entre le CA par </w:t>
      </w:r>
      <w:bookmarkStart w:id="3" w:name="OLE_LINK1"/>
      <w:bookmarkStart w:id="4" w:name="OLE_LINK2"/>
      <w:r w:rsidR="005E2A4D">
        <w:t>la durée moyenne d’immobilisation</w:t>
      </w:r>
      <w:r w:rsidR="008579E1">
        <w:t xml:space="preserve"> du « Délai Paiement Clients »</w:t>
      </w:r>
      <w:r w:rsidR="006E6E08">
        <w:t xml:space="preserve"> </w:t>
      </w:r>
      <w:bookmarkEnd w:id="3"/>
      <w:bookmarkEnd w:id="4"/>
      <w:r w:rsidR="006E6E08">
        <w:t>multiplié par la TVA afin d’obtenir le résultat en TTC.</w:t>
      </w:r>
    </w:p>
    <w:p w:rsidR="00B634E7" w:rsidRDefault="00B634E7" w:rsidP="00C91DF9">
      <w:pPr>
        <w:ind w:left="284"/>
      </w:pPr>
      <w:r w:rsidRPr="00E33E27">
        <w:rPr>
          <w:i/>
        </w:rPr>
        <w:t xml:space="preserve">Les dettes fournisseurs </w:t>
      </w:r>
      <w:r>
        <w:t>se calculent à partir du montant des matières premières ou des autres matières utilisées multiplié par la durée moyenne d’immobilisation du « Délai de Règlement » multiplié par la TVA divisé par le nombre de jours de l’année ; afin d’avoir le résultat en TTC</w:t>
      </w:r>
      <w:r w:rsidR="005E13B6">
        <w:t>.</w:t>
      </w:r>
    </w:p>
    <w:p w:rsidR="004B3996" w:rsidRDefault="004B3996" w:rsidP="00C91DF9">
      <w:pPr>
        <w:ind w:left="284"/>
      </w:pPr>
      <w:r w:rsidRPr="00E33E27">
        <w:rPr>
          <w:i/>
        </w:rPr>
        <w:t>La TVA sur achats déductibles</w:t>
      </w:r>
      <w:r>
        <w:t xml:space="preserve"> se calcule à partir des montants des achats MP, Approvisionnements, Autres Services multiplié par la TVA multiplié parle délai entre l’achat et le remboursement, qui est en moyenne de 35 jours divisé par l’ensemble des jours de l’année.</w:t>
      </w:r>
    </w:p>
    <w:p w:rsidR="005565EF" w:rsidRDefault="005565EF" w:rsidP="00C91DF9">
      <w:pPr>
        <w:ind w:left="284"/>
      </w:pPr>
      <w:r w:rsidRPr="00E33E27">
        <w:rPr>
          <w:i/>
        </w:rPr>
        <w:t>La TVA sur la vente collecté</w:t>
      </w:r>
      <w:r w:rsidR="002C244D" w:rsidRPr="00E33E27">
        <w:rPr>
          <w:i/>
        </w:rPr>
        <w:t>e</w:t>
      </w:r>
      <w:r>
        <w:t xml:space="preserve"> se calcule avec le CA multiplié par la TVA multipli</w:t>
      </w:r>
      <w:r w:rsidR="00591ED7">
        <w:t>é par le même délai de 35 jours divisé par le nombre de jours sur l’</w:t>
      </w:r>
      <w:r w:rsidR="00BD1C57">
        <w:t>année</w:t>
      </w:r>
      <w:r w:rsidR="001935C7">
        <w:t>.</w:t>
      </w:r>
    </w:p>
    <w:p w:rsidR="001935C7" w:rsidRDefault="001935C7" w:rsidP="00C91DF9">
      <w:pPr>
        <w:ind w:left="284"/>
      </w:pPr>
      <w:r w:rsidRPr="00E33E27">
        <w:rPr>
          <w:i/>
        </w:rPr>
        <w:t>Les dettes sur les charges sociales</w:t>
      </w:r>
      <w:r>
        <w:t xml:space="preserve"> sont donc calculées ainsi : Le montant des charges sociales multipliés par le nombre de jours que cela représente ; soit 90 jours divisé par le nombre de jours total de l’année.</w:t>
      </w:r>
    </w:p>
    <w:p w:rsidR="001A6F12" w:rsidRDefault="001A6F12" w:rsidP="00C91DF9">
      <w:pPr>
        <w:ind w:left="284"/>
      </w:pPr>
      <w:r w:rsidRPr="00E33E27">
        <w:rPr>
          <w:i/>
        </w:rPr>
        <w:t>La dette impôts</w:t>
      </w:r>
      <w:r>
        <w:t xml:space="preserve"> a été calculée précédemment, soit la cellule B16 = 94 666,67€</w:t>
      </w:r>
      <w:r w:rsidR="00635748">
        <w:t>.</w:t>
      </w:r>
    </w:p>
    <w:p w:rsidR="005D1652" w:rsidRDefault="005D1652" w:rsidP="00C91DF9">
      <w:pPr>
        <w:ind w:left="284"/>
      </w:pPr>
      <w:r w:rsidRPr="00E33E27">
        <w:rPr>
          <w:i/>
        </w:rPr>
        <w:t>La dette sur l’emprunt</w:t>
      </w:r>
      <w:r>
        <w:t xml:space="preserve"> est donc facilement calculée : le montant de la dette multipliée par le nombre de jours amortie :</w:t>
      </w:r>
      <w:r w:rsidR="006E44AE">
        <w:t xml:space="preserve"> </w:t>
      </w:r>
      <w:r>
        <w:t>90</w:t>
      </w:r>
      <w:r w:rsidR="00E577BF">
        <w:t>;</w:t>
      </w:r>
      <w:r>
        <w:t xml:space="preserve"> divisé par 360 jours.</w:t>
      </w:r>
    </w:p>
    <w:p w:rsidR="005372F6" w:rsidRDefault="00E3311B" w:rsidP="003928B2">
      <w:pPr>
        <w:ind w:left="284"/>
      </w:pPr>
      <w:r w:rsidRPr="00E33E27">
        <w:rPr>
          <w:i/>
        </w:rPr>
        <w:t>Le BFR complet</w:t>
      </w:r>
      <w:r>
        <w:t xml:space="preserve"> se calcule par le dividende entre l’actif</w:t>
      </w:r>
      <w:r w:rsidR="003928B2">
        <w:t xml:space="preserve"> cyclique et le passif cyclique ; puis nous calculons le pourcentage en CA en divisant par le CA total et en nombre de jours en multipliant par 360</w:t>
      </w:r>
      <w:r w:rsidR="005372F6">
        <w:t>.</w:t>
      </w:r>
    </w:p>
    <w:p w:rsidR="005372F6" w:rsidRDefault="005372F6">
      <w:r>
        <w:br w:type="page"/>
      </w:r>
    </w:p>
    <w:p w:rsidR="001D35F8" w:rsidRDefault="001D35F8" w:rsidP="001D35F8">
      <w:pPr>
        <w:pStyle w:val="Titre1"/>
      </w:pPr>
      <w:bookmarkStart w:id="5" w:name="_Toc289702390"/>
      <w:r>
        <w:lastRenderedPageBreak/>
        <w:t>Question 3</w:t>
      </w:r>
      <w:bookmarkEnd w:id="5"/>
    </w:p>
    <w:p w:rsidR="005372F6" w:rsidRPr="005372F6" w:rsidRDefault="005372F6" w:rsidP="005372F6">
      <w:pPr>
        <w:ind w:left="284"/>
      </w:pPr>
    </w:p>
    <w:p w:rsidR="005372F6" w:rsidRDefault="005372F6" w:rsidP="005372F6">
      <w:pPr>
        <w:ind w:left="284"/>
      </w:pPr>
      <w:r>
        <w:tab/>
        <w:t>On fixe comme objectif pour 2010 un d’affaire de 2 800 000€ tout en pouvant autofinancer notre croissance ; afin d’aider à cet objectif on investit 100 000€ supplémentaire dès janvier 2010 qu’on amortira sur 5 ans.</w:t>
      </w:r>
    </w:p>
    <w:p w:rsidR="005372F6" w:rsidRDefault="005372F6" w:rsidP="005372F6">
      <w:pPr>
        <w:ind w:left="284"/>
      </w:pPr>
      <w:r>
        <w:t>Pour régler ce problème d’autofinancement, on effectue des simulations sur le besoin en fonds de roulement de l’année 2010 avec les objectifs cités ci-dessus (en réutilisant notre deuxième feuille de calcul) en incluant le CA objectif et un délai de paiement client de 30 jours.</w:t>
      </w:r>
    </w:p>
    <w:p w:rsidR="005372F6" w:rsidRDefault="005372F6" w:rsidP="005372F6">
      <w:pPr>
        <w:ind w:left="284"/>
      </w:pPr>
      <w:r>
        <w:t>Puis on calcule la CAF avec les résultats de la question 1)  que l’on compare au montant à financer selon nos objectifs, et on constate que l’autofinancement est possible pour les paramètres prévus.</w:t>
      </w:r>
    </w:p>
    <w:p w:rsidR="005372F6" w:rsidRDefault="005372F6" w:rsidP="00B6584C">
      <w:pPr>
        <w:ind w:left="284"/>
      </w:pPr>
      <w:r>
        <w:t>On recommence la même simulation avec un délai de paiement client de 45 jours et on constate que l’autofinancement est toujours possible !</w:t>
      </w:r>
    </w:p>
    <w:tbl>
      <w:tblPr>
        <w:tblW w:w="11977" w:type="dxa"/>
        <w:tblInd w:w="-1417" w:type="dxa"/>
        <w:tblLayout w:type="fixed"/>
        <w:tblCellMar>
          <w:left w:w="70" w:type="dxa"/>
          <w:right w:w="70" w:type="dxa"/>
        </w:tblCellMar>
        <w:tblLook w:val="04A0"/>
      </w:tblPr>
      <w:tblGrid>
        <w:gridCol w:w="4129"/>
        <w:gridCol w:w="1753"/>
        <w:gridCol w:w="4394"/>
        <w:gridCol w:w="1701"/>
      </w:tblGrid>
      <w:tr w:rsidR="001C04A3" w:rsidRPr="001C04A3" w:rsidTr="001C04A3">
        <w:trPr>
          <w:trHeight w:val="282"/>
        </w:trPr>
        <w:tc>
          <w:tcPr>
            <w:tcW w:w="5882" w:type="dxa"/>
            <w:gridSpan w:val="2"/>
            <w:tcBorders>
              <w:top w:val="single" w:sz="8" w:space="0" w:color="auto"/>
              <w:left w:val="single" w:sz="8" w:space="0" w:color="auto"/>
              <w:bottom w:val="single" w:sz="8" w:space="0" w:color="auto"/>
              <w:right w:val="nil"/>
            </w:tcBorders>
            <w:shd w:val="clear" w:color="auto" w:fill="auto"/>
            <w:noWrap/>
            <w:vAlign w:val="bottom"/>
            <w:hideMark/>
          </w:tcPr>
          <w:p w:rsidR="001C04A3" w:rsidRPr="001C04A3" w:rsidRDefault="001C04A3" w:rsidP="001C04A3">
            <w:pPr>
              <w:spacing w:after="0" w:line="240" w:lineRule="auto"/>
              <w:jc w:val="center"/>
              <w:rPr>
                <w:rFonts w:ascii="Arial" w:eastAsia="Times New Roman" w:hAnsi="Arial" w:cs="Arial"/>
                <w:b/>
                <w:bCs/>
                <w:sz w:val="20"/>
                <w:szCs w:val="20"/>
                <w:lang w:eastAsia="fr-FR"/>
              </w:rPr>
            </w:pPr>
            <w:r w:rsidRPr="001C04A3">
              <w:rPr>
                <w:rFonts w:ascii="Arial" w:eastAsia="Times New Roman" w:hAnsi="Arial" w:cs="Arial"/>
                <w:b/>
                <w:bCs/>
                <w:sz w:val="20"/>
                <w:szCs w:val="20"/>
                <w:lang w:eastAsia="fr-FR"/>
              </w:rPr>
              <w:t>Q3) CAF pour financer la croissance 2010 avec paiement client à 30 j</w:t>
            </w:r>
          </w:p>
        </w:tc>
        <w:tc>
          <w:tcPr>
            <w:tcW w:w="60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jc w:val="center"/>
              <w:rPr>
                <w:rFonts w:ascii="Arial" w:eastAsia="Times New Roman" w:hAnsi="Arial" w:cs="Arial"/>
                <w:b/>
                <w:bCs/>
                <w:sz w:val="20"/>
                <w:szCs w:val="20"/>
                <w:lang w:eastAsia="fr-FR"/>
              </w:rPr>
            </w:pPr>
            <w:r w:rsidRPr="001C04A3">
              <w:rPr>
                <w:rFonts w:ascii="Arial" w:eastAsia="Times New Roman" w:hAnsi="Arial" w:cs="Arial"/>
                <w:b/>
                <w:bCs/>
                <w:sz w:val="20"/>
                <w:szCs w:val="20"/>
                <w:lang w:eastAsia="fr-FR"/>
              </w:rPr>
              <w:t>Q3) CAF pour financer la croissance 2010 avec paiement client à 45 j</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CA Objectif 2010</w:t>
            </w:r>
          </w:p>
        </w:tc>
        <w:tc>
          <w:tcPr>
            <w:tcW w:w="1753" w:type="dxa"/>
            <w:tcBorders>
              <w:top w:val="nil"/>
              <w:left w:val="nil"/>
              <w:bottom w:val="single" w:sz="4" w:space="0" w:color="auto"/>
              <w:right w:val="nil"/>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FF0000"/>
                <w:sz w:val="20"/>
                <w:szCs w:val="20"/>
                <w:lang w:eastAsia="fr-FR"/>
              </w:rPr>
            </w:pPr>
            <w:r w:rsidRPr="001C04A3">
              <w:rPr>
                <w:rFonts w:ascii="Arial" w:eastAsia="Times New Roman" w:hAnsi="Arial" w:cs="Arial"/>
                <w:color w:val="FF0000"/>
                <w:sz w:val="20"/>
                <w:szCs w:val="20"/>
                <w:lang w:eastAsia="fr-FR"/>
              </w:rPr>
              <w:t xml:space="preserve"> 2 800 000,00 € </w:t>
            </w:r>
          </w:p>
        </w:tc>
        <w:tc>
          <w:tcPr>
            <w:tcW w:w="4394"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CA Objectif 2010</w:t>
            </w:r>
          </w:p>
        </w:tc>
        <w:tc>
          <w:tcPr>
            <w:tcW w:w="1701" w:type="dxa"/>
            <w:tcBorders>
              <w:top w:val="nil"/>
              <w:left w:val="nil"/>
              <w:bottom w:val="single" w:sz="4" w:space="0" w:color="auto"/>
              <w:right w:val="single" w:sz="8"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FF0000"/>
                <w:sz w:val="20"/>
                <w:szCs w:val="20"/>
                <w:lang w:eastAsia="fr-FR"/>
              </w:rPr>
            </w:pPr>
            <w:r w:rsidRPr="001C04A3">
              <w:rPr>
                <w:rFonts w:ascii="Arial" w:eastAsia="Times New Roman" w:hAnsi="Arial" w:cs="Arial"/>
                <w:color w:val="FF0000"/>
                <w:sz w:val="20"/>
                <w:szCs w:val="20"/>
                <w:lang w:eastAsia="fr-FR"/>
              </w:rPr>
              <w:t xml:space="preserve"> 2 800 000,00 € </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BFR 2010 avec paiement clients à 30 j</w:t>
            </w:r>
          </w:p>
        </w:tc>
        <w:tc>
          <w:tcPr>
            <w:tcW w:w="1753" w:type="dxa"/>
            <w:tcBorders>
              <w:top w:val="nil"/>
              <w:left w:val="nil"/>
              <w:bottom w:val="single" w:sz="4" w:space="0" w:color="auto"/>
              <w:right w:val="nil"/>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47 652,22 € </w:t>
            </w:r>
          </w:p>
        </w:tc>
        <w:tc>
          <w:tcPr>
            <w:tcW w:w="4394"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BFR 2010 avec paiement clients à 45 j</w:t>
            </w:r>
          </w:p>
        </w:tc>
        <w:tc>
          <w:tcPr>
            <w:tcW w:w="1701" w:type="dxa"/>
            <w:tcBorders>
              <w:top w:val="nil"/>
              <w:left w:val="nil"/>
              <w:bottom w:val="single" w:sz="4" w:space="0" w:color="auto"/>
              <w:right w:val="single" w:sz="8"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187 185,56 € </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Investissements en 2010</w:t>
            </w:r>
          </w:p>
        </w:tc>
        <w:tc>
          <w:tcPr>
            <w:tcW w:w="1753" w:type="dxa"/>
            <w:tcBorders>
              <w:top w:val="nil"/>
              <w:left w:val="nil"/>
              <w:bottom w:val="single" w:sz="4" w:space="0" w:color="auto"/>
              <w:right w:val="nil"/>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FF0000"/>
                <w:sz w:val="20"/>
                <w:szCs w:val="20"/>
                <w:lang w:eastAsia="fr-FR"/>
              </w:rPr>
            </w:pPr>
            <w:r w:rsidRPr="001C04A3">
              <w:rPr>
                <w:rFonts w:ascii="Arial" w:eastAsia="Times New Roman" w:hAnsi="Arial" w:cs="Arial"/>
                <w:color w:val="FF0000"/>
                <w:sz w:val="20"/>
                <w:szCs w:val="20"/>
                <w:lang w:eastAsia="fr-FR"/>
              </w:rPr>
              <w:t xml:space="preserve">    100 000,00 € </w:t>
            </w:r>
          </w:p>
        </w:tc>
        <w:tc>
          <w:tcPr>
            <w:tcW w:w="4394"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Investissements en 2010</w:t>
            </w:r>
          </w:p>
        </w:tc>
        <w:tc>
          <w:tcPr>
            <w:tcW w:w="1701" w:type="dxa"/>
            <w:tcBorders>
              <w:top w:val="nil"/>
              <w:left w:val="nil"/>
              <w:bottom w:val="single" w:sz="4" w:space="0" w:color="auto"/>
              <w:right w:val="single" w:sz="8"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FF0000"/>
                <w:sz w:val="20"/>
                <w:szCs w:val="20"/>
                <w:lang w:eastAsia="fr-FR"/>
              </w:rPr>
            </w:pPr>
            <w:r w:rsidRPr="001C04A3">
              <w:rPr>
                <w:rFonts w:ascii="Arial" w:eastAsia="Times New Roman" w:hAnsi="Arial" w:cs="Arial"/>
                <w:color w:val="FF0000"/>
                <w:sz w:val="20"/>
                <w:szCs w:val="20"/>
                <w:lang w:eastAsia="fr-FR"/>
              </w:rPr>
              <w:t xml:space="preserve">    100 000,00 € </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Total à financer en 2010 par la CAF 2009 sans dividendes</w:t>
            </w:r>
          </w:p>
        </w:tc>
        <w:tc>
          <w:tcPr>
            <w:tcW w:w="1753" w:type="dxa"/>
            <w:tcBorders>
              <w:top w:val="nil"/>
              <w:left w:val="nil"/>
              <w:bottom w:val="single" w:sz="4" w:space="0" w:color="auto"/>
              <w:right w:val="nil"/>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000000"/>
                <w:sz w:val="20"/>
                <w:szCs w:val="20"/>
                <w:lang w:eastAsia="fr-FR"/>
              </w:rPr>
            </w:pPr>
            <w:r w:rsidRPr="001C04A3">
              <w:rPr>
                <w:rFonts w:ascii="Arial" w:eastAsia="Times New Roman" w:hAnsi="Arial" w:cs="Arial"/>
                <w:color w:val="000000"/>
                <w:sz w:val="20"/>
                <w:szCs w:val="20"/>
                <w:lang w:eastAsia="fr-FR"/>
              </w:rPr>
              <w:t xml:space="preserve">    147 652,22 € </w:t>
            </w:r>
          </w:p>
        </w:tc>
        <w:tc>
          <w:tcPr>
            <w:tcW w:w="4394"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Total à financer en 2010 par la CAF 2009 sans dividendes</w:t>
            </w:r>
          </w:p>
        </w:tc>
        <w:tc>
          <w:tcPr>
            <w:tcW w:w="1701" w:type="dxa"/>
            <w:tcBorders>
              <w:top w:val="nil"/>
              <w:left w:val="nil"/>
              <w:bottom w:val="single" w:sz="4" w:space="0" w:color="auto"/>
              <w:right w:val="single" w:sz="8"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000000"/>
                <w:sz w:val="20"/>
                <w:szCs w:val="20"/>
                <w:lang w:eastAsia="fr-FR"/>
              </w:rPr>
            </w:pPr>
            <w:r w:rsidRPr="001C04A3">
              <w:rPr>
                <w:rFonts w:ascii="Arial" w:eastAsia="Times New Roman" w:hAnsi="Arial" w:cs="Arial"/>
                <w:color w:val="000000"/>
                <w:sz w:val="20"/>
                <w:szCs w:val="20"/>
                <w:lang w:eastAsia="fr-FR"/>
              </w:rPr>
              <w:t xml:space="preserve">    287 185,56 € </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CAF calculée sur 2009 = BN1 2009 + Amortissements 2009</w:t>
            </w:r>
          </w:p>
        </w:tc>
        <w:tc>
          <w:tcPr>
            <w:tcW w:w="1753" w:type="dxa"/>
            <w:tcBorders>
              <w:top w:val="nil"/>
              <w:left w:val="nil"/>
              <w:bottom w:val="single" w:sz="4" w:space="0" w:color="auto"/>
              <w:right w:val="nil"/>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348 000,00 € </w:t>
            </w:r>
          </w:p>
        </w:tc>
        <w:tc>
          <w:tcPr>
            <w:tcW w:w="4394"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CAF calculée sur 2009 = BN1 2009 + Amortissements 2009</w:t>
            </w:r>
          </w:p>
        </w:tc>
        <w:tc>
          <w:tcPr>
            <w:tcW w:w="1701" w:type="dxa"/>
            <w:tcBorders>
              <w:top w:val="nil"/>
              <w:left w:val="nil"/>
              <w:bottom w:val="single" w:sz="4" w:space="0" w:color="auto"/>
              <w:right w:val="single" w:sz="8"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348 000,00 € </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FFFF00" w:fill="FFFF00"/>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Peut-on autofinancer la croissance ?</w:t>
            </w:r>
          </w:p>
        </w:tc>
        <w:tc>
          <w:tcPr>
            <w:tcW w:w="1753" w:type="dxa"/>
            <w:tcBorders>
              <w:top w:val="nil"/>
              <w:left w:val="nil"/>
              <w:bottom w:val="single" w:sz="4" w:space="0" w:color="auto"/>
              <w:right w:val="nil"/>
            </w:tcBorders>
            <w:shd w:val="clear" w:color="FFFF00" w:fill="FFFF00"/>
            <w:noWrap/>
            <w:vAlign w:val="bottom"/>
            <w:hideMark/>
          </w:tcPr>
          <w:p w:rsidR="001C04A3" w:rsidRPr="001C04A3" w:rsidRDefault="001C04A3" w:rsidP="001C04A3">
            <w:pPr>
              <w:spacing w:after="0" w:line="240" w:lineRule="auto"/>
              <w:jc w:val="center"/>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OUI </w:t>
            </w:r>
          </w:p>
        </w:tc>
        <w:tc>
          <w:tcPr>
            <w:tcW w:w="4394" w:type="dxa"/>
            <w:tcBorders>
              <w:top w:val="nil"/>
              <w:left w:val="single" w:sz="8" w:space="0" w:color="auto"/>
              <w:bottom w:val="single" w:sz="4" w:space="0" w:color="auto"/>
              <w:right w:val="single" w:sz="4" w:space="0" w:color="auto"/>
            </w:tcBorders>
            <w:shd w:val="clear" w:color="FFFF00" w:fill="FFFF00"/>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Peut-on autofinancer la croissance ?</w:t>
            </w:r>
          </w:p>
        </w:tc>
        <w:tc>
          <w:tcPr>
            <w:tcW w:w="1701" w:type="dxa"/>
            <w:tcBorders>
              <w:top w:val="nil"/>
              <w:left w:val="nil"/>
              <w:bottom w:val="single" w:sz="4" w:space="0" w:color="auto"/>
              <w:right w:val="single" w:sz="8" w:space="0" w:color="auto"/>
            </w:tcBorders>
            <w:shd w:val="clear" w:color="FFFF00" w:fill="FFFF00"/>
            <w:noWrap/>
            <w:vAlign w:val="bottom"/>
            <w:hideMark/>
          </w:tcPr>
          <w:p w:rsidR="001C04A3" w:rsidRPr="001C04A3" w:rsidRDefault="001C04A3" w:rsidP="001C04A3">
            <w:pPr>
              <w:spacing w:after="0" w:line="240" w:lineRule="auto"/>
              <w:jc w:val="center"/>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OUI </w:t>
            </w:r>
          </w:p>
        </w:tc>
      </w:tr>
    </w:tbl>
    <w:p w:rsidR="001C04A3" w:rsidRPr="005372F6" w:rsidRDefault="001C04A3" w:rsidP="00B6584C">
      <w:pPr>
        <w:ind w:left="284"/>
      </w:pPr>
    </w:p>
    <w:p w:rsidR="005372F6" w:rsidRDefault="001D35F8" w:rsidP="00B6584C">
      <w:pPr>
        <w:pStyle w:val="Titre1"/>
      </w:pPr>
      <w:bookmarkStart w:id="6" w:name="_Toc289702391"/>
      <w:r>
        <w:t>Question 4</w:t>
      </w:r>
      <w:bookmarkEnd w:id="6"/>
    </w:p>
    <w:p w:rsidR="00B6584C" w:rsidRPr="00B6584C" w:rsidRDefault="00B6584C" w:rsidP="00B6584C"/>
    <w:p w:rsidR="005372F6" w:rsidRDefault="005372F6" w:rsidP="005372F6">
      <w:pPr>
        <w:ind w:left="284" w:firstLine="424"/>
      </w:pPr>
      <w:r>
        <w:t xml:space="preserve">En effectuant la différence entre notre capacité d’autofinancement et la totalité de ce qu’il y a à financer en 2010, on peut prélever jusqu’à </w:t>
      </w:r>
      <w:r w:rsidR="000620B8">
        <w:t>200 347,78</w:t>
      </w:r>
      <w:r>
        <w:t>€.</w:t>
      </w:r>
    </w:p>
    <w:tbl>
      <w:tblPr>
        <w:tblW w:w="82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94"/>
        <w:gridCol w:w="1843"/>
      </w:tblGrid>
      <w:tr w:rsidR="00B56841" w:rsidRPr="00B56841" w:rsidTr="000620B8">
        <w:trPr>
          <w:trHeight w:val="255"/>
        </w:trPr>
        <w:tc>
          <w:tcPr>
            <w:tcW w:w="6394" w:type="dxa"/>
            <w:shd w:val="clear" w:color="auto" w:fill="auto"/>
            <w:noWrap/>
            <w:vAlign w:val="bottom"/>
            <w:hideMark/>
          </w:tcPr>
          <w:p w:rsidR="00B56841" w:rsidRPr="00B56841" w:rsidRDefault="00B56841" w:rsidP="00B56841">
            <w:pPr>
              <w:spacing w:after="0" w:line="240" w:lineRule="auto"/>
              <w:rPr>
                <w:rFonts w:ascii="Arial" w:eastAsia="Times New Roman" w:hAnsi="Arial" w:cs="Arial"/>
                <w:sz w:val="20"/>
                <w:szCs w:val="20"/>
                <w:lang w:eastAsia="fr-FR"/>
              </w:rPr>
            </w:pPr>
            <w:r w:rsidRPr="00B56841">
              <w:rPr>
                <w:rFonts w:ascii="Arial" w:eastAsia="Times New Roman" w:hAnsi="Arial" w:cs="Arial"/>
                <w:sz w:val="20"/>
                <w:szCs w:val="20"/>
                <w:lang w:eastAsia="fr-FR"/>
              </w:rPr>
              <w:t>Total à financer en 2010 par la CAF 2009 sans dividendes</w:t>
            </w:r>
          </w:p>
        </w:tc>
        <w:tc>
          <w:tcPr>
            <w:tcW w:w="1843" w:type="dxa"/>
            <w:shd w:val="clear" w:color="auto" w:fill="auto"/>
            <w:noWrap/>
            <w:vAlign w:val="bottom"/>
            <w:hideMark/>
          </w:tcPr>
          <w:p w:rsidR="00B56841" w:rsidRPr="00B56841" w:rsidRDefault="00B56841" w:rsidP="00B56841">
            <w:pPr>
              <w:spacing w:after="0" w:line="240" w:lineRule="auto"/>
              <w:rPr>
                <w:rFonts w:ascii="Arial" w:eastAsia="Times New Roman" w:hAnsi="Arial" w:cs="Arial"/>
                <w:color w:val="000000"/>
                <w:sz w:val="20"/>
                <w:szCs w:val="20"/>
                <w:lang w:eastAsia="fr-FR"/>
              </w:rPr>
            </w:pPr>
            <w:r w:rsidRPr="00B56841">
              <w:rPr>
                <w:rFonts w:ascii="Arial" w:eastAsia="Times New Roman" w:hAnsi="Arial" w:cs="Arial"/>
                <w:color w:val="000000"/>
                <w:sz w:val="20"/>
                <w:szCs w:val="20"/>
                <w:lang w:eastAsia="fr-FR"/>
              </w:rPr>
              <w:t xml:space="preserve">    147 652,22 € </w:t>
            </w:r>
          </w:p>
        </w:tc>
      </w:tr>
      <w:tr w:rsidR="00B56841" w:rsidRPr="00B56841" w:rsidTr="000620B8">
        <w:trPr>
          <w:trHeight w:val="255"/>
        </w:trPr>
        <w:tc>
          <w:tcPr>
            <w:tcW w:w="6394" w:type="dxa"/>
            <w:shd w:val="clear" w:color="auto" w:fill="auto"/>
            <w:noWrap/>
            <w:vAlign w:val="bottom"/>
            <w:hideMark/>
          </w:tcPr>
          <w:p w:rsidR="00B56841" w:rsidRPr="00B56841" w:rsidRDefault="00B56841" w:rsidP="00B56841">
            <w:pPr>
              <w:spacing w:after="0" w:line="240" w:lineRule="auto"/>
              <w:rPr>
                <w:rFonts w:ascii="Arial" w:eastAsia="Times New Roman" w:hAnsi="Arial" w:cs="Arial"/>
                <w:sz w:val="20"/>
                <w:szCs w:val="20"/>
                <w:lang w:eastAsia="fr-FR"/>
              </w:rPr>
            </w:pPr>
            <w:r w:rsidRPr="00B56841">
              <w:rPr>
                <w:rFonts w:ascii="Arial" w:eastAsia="Times New Roman" w:hAnsi="Arial" w:cs="Arial"/>
                <w:sz w:val="20"/>
                <w:szCs w:val="20"/>
                <w:lang w:eastAsia="fr-FR"/>
              </w:rPr>
              <w:t>CAF calculée sur 2009 = BN1 2009 + Amortissements 2009</w:t>
            </w:r>
          </w:p>
        </w:tc>
        <w:tc>
          <w:tcPr>
            <w:tcW w:w="1843" w:type="dxa"/>
            <w:shd w:val="clear" w:color="auto" w:fill="auto"/>
            <w:noWrap/>
            <w:vAlign w:val="bottom"/>
            <w:hideMark/>
          </w:tcPr>
          <w:p w:rsidR="00B56841" w:rsidRPr="00B56841" w:rsidRDefault="00B56841" w:rsidP="00B56841">
            <w:pPr>
              <w:spacing w:after="0" w:line="240" w:lineRule="auto"/>
              <w:rPr>
                <w:rFonts w:ascii="Arial" w:eastAsia="Times New Roman" w:hAnsi="Arial" w:cs="Arial"/>
                <w:sz w:val="20"/>
                <w:szCs w:val="20"/>
                <w:lang w:eastAsia="fr-FR"/>
              </w:rPr>
            </w:pPr>
            <w:r w:rsidRPr="00B56841">
              <w:rPr>
                <w:rFonts w:ascii="Arial" w:eastAsia="Times New Roman" w:hAnsi="Arial" w:cs="Arial"/>
                <w:sz w:val="20"/>
                <w:szCs w:val="20"/>
                <w:lang w:eastAsia="fr-FR"/>
              </w:rPr>
              <w:t xml:space="preserve">    348 000,00 € </w:t>
            </w:r>
          </w:p>
        </w:tc>
      </w:tr>
      <w:tr w:rsidR="00B56841" w:rsidRPr="00B56841" w:rsidTr="000620B8">
        <w:trPr>
          <w:trHeight w:val="255"/>
        </w:trPr>
        <w:tc>
          <w:tcPr>
            <w:tcW w:w="6394" w:type="dxa"/>
            <w:shd w:val="clear" w:color="FFFF00" w:fill="FFFF00"/>
            <w:noWrap/>
            <w:vAlign w:val="bottom"/>
            <w:hideMark/>
          </w:tcPr>
          <w:p w:rsidR="00B56841" w:rsidRPr="00B56841" w:rsidRDefault="00B56841" w:rsidP="00B56841">
            <w:pPr>
              <w:spacing w:after="0" w:line="240" w:lineRule="auto"/>
              <w:rPr>
                <w:rFonts w:ascii="Arial" w:eastAsia="Times New Roman" w:hAnsi="Arial" w:cs="Arial"/>
                <w:sz w:val="20"/>
                <w:szCs w:val="20"/>
                <w:lang w:eastAsia="fr-FR"/>
              </w:rPr>
            </w:pPr>
            <w:r w:rsidRPr="00B56841">
              <w:rPr>
                <w:rFonts w:ascii="Arial" w:eastAsia="Times New Roman" w:hAnsi="Arial" w:cs="Arial"/>
                <w:sz w:val="20"/>
                <w:szCs w:val="20"/>
                <w:lang w:eastAsia="fr-FR"/>
              </w:rPr>
              <w:t>Peut-on autofinancer la croissance ?</w:t>
            </w:r>
          </w:p>
        </w:tc>
        <w:tc>
          <w:tcPr>
            <w:tcW w:w="1843" w:type="dxa"/>
            <w:shd w:val="clear" w:color="FFFF00" w:fill="FFFF00"/>
            <w:noWrap/>
            <w:vAlign w:val="bottom"/>
            <w:hideMark/>
          </w:tcPr>
          <w:p w:rsidR="00B56841" w:rsidRPr="00B56841" w:rsidRDefault="00B56841" w:rsidP="00B56841">
            <w:pPr>
              <w:spacing w:after="0" w:line="240" w:lineRule="auto"/>
              <w:jc w:val="center"/>
              <w:rPr>
                <w:rFonts w:ascii="Arial" w:eastAsia="Times New Roman" w:hAnsi="Arial" w:cs="Arial"/>
                <w:sz w:val="20"/>
                <w:szCs w:val="20"/>
                <w:lang w:eastAsia="fr-FR"/>
              </w:rPr>
            </w:pPr>
            <w:r w:rsidRPr="00B56841">
              <w:rPr>
                <w:rFonts w:ascii="Arial" w:eastAsia="Times New Roman" w:hAnsi="Arial" w:cs="Arial"/>
                <w:sz w:val="20"/>
                <w:szCs w:val="20"/>
                <w:lang w:eastAsia="fr-FR"/>
              </w:rPr>
              <w:t xml:space="preserve"> OUI </w:t>
            </w:r>
          </w:p>
        </w:tc>
      </w:tr>
      <w:tr w:rsidR="00B56841" w:rsidRPr="00B56841" w:rsidTr="000620B8">
        <w:trPr>
          <w:trHeight w:val="255"/>
        </w:trPr>
        <w:tc>
          <w:tcPr>
            <w:tcW w:w="6394" w:type="dxa"/>
            <w:shd w:val="clear" w:color="FFFF00" w:fill="FFFF00"/>
            <w:noWrap/>
            <w:vAlign w:val="bottom"/>
            <w:hideMark/>
          </w:tcPr>
          <w:p w:rsidR="00B56841" w:rsidRPr="00B56841" w:rsidRDefault="00B56841" w:rsidP="00B56841">
            <w:pPr>
              <w:spacing w:after="0" w:line="240" w:lineRule="auto"/>
              <w:rPr>
                <w:rFonts w:ascii="Arial" w:eastAsia="Times New Roman" w:hAnsi="Arial" w:cs="Arial"/>
                <w:sz w:val="20"/>
                <w:szCs w:val="20"/>
                <w:lang w:eastAsia="fr-FR"/>
              </w:rPr>
            </w:pPr>
            <w:r w:rsidRPr="00B56841">
              <w:rPr>
                <w:rFonts w:ascii="Arial" w:eastAsia="Times New Roman" w:hAnsi="Arial" w:cs="Arial"/>
                <w:sz w:val="20"/>
                <w:szCs w:val="20"/>
                <w:lang w:eastAsia="fr-FR"/>
              </w:rPr>
              <w:t>Dividendes maximum possibles prélevés sur 2009 et versés en 2010</w:t>
            </w:r>
          </w:p>
        </w:tc>
        <w:tc>
          <w:tcPr>
            <w:tcW w:w="1843" w:type="dxa"/>
            <w:shd w:val="clear" w:color="FFFF00" w:fill="FFFF00"/>
            <w:noWrap/>
            <w:vAlign w:val="bottom"/>
            <w:hideMark/>
          </w:tcPr>
          <w:p w:rsidR="00B56841" w:rsidRPr="00B56841" w:rsidRDefault="00B56841" w:rsidP="00B56841">
            <w:pPr>
              <w:spacing w:after="0" w:line="240" w:lineRule="auto"/>
              <w:jc w:val="center"/>
              <w:rPr>
                <w:rFonts w:ascii="Arial" w:eastAsia="Times New Roman" w:hAnsi="Arial" w:cs="Arial"/>
                <w:color w:val="FF0000"/>
                <w:sz w:val="20"/>
                <w:szCs w:val="20"/>
                <w:lang w:eastAsia="fr-FR"/>
              </w:rPr>
            </w:pPr>
            <w:r w:rsidRPr="00B56841">
              <w:rPr>
                <w:rFonts w:ascii="Arial" w:eastAsia="Times New Roman" w:hAnsi="Arial" w:cs="Arial"/>
                <w:color w:val="FF0000"/>
                <w:sz w:val="20"/>
                <w:szCs w:val="20"/>
                <w:lang w:eastAsia="fr-FR"/>
              </w:rPr>
              <w:t xml:space="preserve">    200 347,78 € </w:t>
            </w:r>
          </w:p>
        </w:tc>
        <w:bookmarkStart w:id="7" w:name="_GoBack"/>
        <w:bookmarkEnd w:id="7"/>
      </w:tr>
    </w:tbl>
    <w:p w:rsidR="00B56841" w:rsidRDefault="00B56841" w:rsidP="001D35F8">
      <w:pPr>
        <w:pStyle w:val="Titre1"/>
      </w:pPr>
    </w:p>
    <w:p w:rsidR="00B56841" w:rsidRDefault="00B56841">
      <w:pPr>
        <w:rPr>
          <w:rFonts w:asciiTheme="majorHAnsi" w:eastAsiaTheme="majorEastAsia" w:hAnsiTheme="majorHAnsi" w:cstheme="majorBidi"/>
          <w:b/>
          <w:bCs/>
          <w:color w:val="365F91" w:themeColor="accent1" w:themeShade="BF"/>
          <w:sz w:val="28"/>
          <w:szCs w:val="28"/>
        </w:rPr>
      </w:pPr>
      <w:r>
        <w:br w:type="page"/>
      </w:r>
    </w:p>
    <w:p w:rsidR="00B6584C" w:rsidRDefault="001D35F8" w:rsidP="001D35F8">
      <w:pPr>
        <w:pStyle w:val="Titre1"/>
      </w:pPr>
      <w:bookmarkStart w:id="8" w:name="_Toc289702392"/>
      <w:r>
        <w:lastRenderedPageBreak/>
        <w:t>Question 5</w:t>
      </w:r>
      <w:bookmarkEnd w:id="8"/>
    </w:p>
    <w:p w:rsidR="00B35A3D" w:rsidRDefault="00B35A3D" w:rsidP="00B6584C">
      <w:pPr>
        <w:rPr>
          <w:rFonts w:asciiTheme="majorHAnsi" w:eastAsiaTheme="majorEastAsia" w:hAnsiTheme="majorHAnsi" w:cstheme="majorBidi"/>
          <w:color w:val="365F91" w:themeColor="accent1" w:themeShade="BF"/>
          <w:sz w:val="28"/>
          <w:szCs w:val="28"/>
        </w:rPr>
      </w:pPr>
    </w:p>
    <w:tbl>
      <w:tblPr>
        <w:tblW w:w="8180" w:type="dxa"/>
        <w:tblInd w:w="55" w:type="dxa"/>
        <w:tblCellMar>
          <w:left w:w="70" w:type="dxa"/>
          <w:right w:w="70" w:type="dxa"/>
        </w:tblCellMar>
        <w:tblLook w:val="04A0"/>
      </w:tblPr>
      <w:tblGrid>
        <w:gridCol w:w="4366"/>
        <w:gridCol w:w="1353"/>
        <w:gridCol w:w="1353"/>
        <w:gridCol w:w="1220"/>
      </w:tblGrid>
      <w:tr w:rsidR="00B35A3D" w:rsidRPr="002359F5" w:rsidTr="00A536AA">
        <w:trPr>
          <w:trHeight w:val="578"/>
        </w:trPr>
        <w:tc>
          <w:tcPr>
            <w:tcW w:w="436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bookmarkStart w:id="9" w:name="RANGE!A1:D14"/>
            <w:r w:rsidRPr="002359F5">
              <w:rPr>
                <w:rFonts w:ascii="Arial" w:eastAsia="Times New Roman" w:hAnsi="Arial" w:cs="Arial"/>
                <w:sz w:val="20"/>
                <w:szCs w:val="20"/>
                <w:lang w:eastAsia="fr-FR"/>
              </w:rPr>
              <w:t> </w:t>
            </w:r>
            <w:bookmarkEnd w:id="9"/>
          </w:p>
        </w:tc>
        <w:tc>
          <w:tcPr>
            <w:tcW w:w="1297" w:type="dxa"/>
            <w:tcBorders>
              <w:top w:val="single" w:sz="8" w:space="0" w:color="auto"/>
              <w:left w:val="nil"/>
              <w:bottom w:val="single" w:sz="4" w:space="0" w:color="auto"/>
              <w:right w:val="single" w:sz="4" w:space="0" w:color="auto"/>
            </w:tcBorders>
            <w:shd w:val="clear" w:color="auto" w:fill="auto"/>
            <w:vAlign w:val="center"/>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Avant augmentation de salaires en 2009</w:t>
            </w:r>
          </w:p>
        </w:tc>
        <w:tc>
          <w:tcPr>
            <w:tcW w:w="1297" w:type="dxa"/>
            <w:tcBorders>
              <w:top w:val="single" w:sz="8" w:space="0" w:color="auto"/>
              <w:left w:val="nil"/>
              <w:bottom w:val="single" w:sz="4" w:space="0" w:color="auto"/>
              <w:right w:val="single" w:sz="4" w:space="0" w:color="auto"/>
            </w:tcBorders>
            <w:shd w:val="clear" w:color="auto" w:fill="auto"/>
            <w:vAlign w:val="center"/>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Après augmentation de salaires en 2009</w:t>
            </w:r>
          </w:p>
        </w:tc>
        <w:tc>
          <w:tcPr>
            <w:tcW w:w="1220" w:type="dxa"/>
            <w:tcBorders>
              <w:top w:val="single" w:sz="8" w:space="0" w:color="auto"/>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Calibri" w:eastAsia="Times New Roman" w:hAnsi="Calibri" w:cs="Calibri"/>
                <w:sz w:val="36"/>
                <w:szCs w:val="36"/>
                <w:lang w:eastAsia="fr-FR"/>
              </w:rPr>
            </w:pPr>
            <w:r w:rsidRPr="002359F5">
              <w:rPr>
                <w:rFonts w:ascii="Calibri" w:eastAsia="Times New Roman" w:hAnsi="Calibri" w:cs="Calibri"/>
                <w:sz w:val="36"/>
                <w:szCs w:val="36"/>
                <w:lang w:eastAsia="fr-FR"/>
              </w:rPr>
              <w:t>∆</w:t>
            </w:r>
          </w:p>
        </w:tc>
      </w:tr>
      <w:tr w:rsidR="00B35A3D" w:rsidRPr="002359F5" w:rsidTr="00A536AA">
        <w:trPr>
          <w:trHeight w:val="465"/>
        </w:trPr>
        <w:tc>
          <w:tcPr>
            <w:tcW w:w="4366" w:type="dxa"/>
            <w:tcBorders>
              <w:top w:val="nil"/>
              <w:left w:val="single" w:sz="8" w:space="0" w:color="auto"/>
              <w:bottom w:val="single" w:sz="4" w:space="0" w:color="auto"/>
              <w:right w:val="single" w:sz="4" w:space="0" w:color="auto"/>
            </w:tcBorders>
            <w:shd w:val="clear" w:color="auto" w:fill="auto"/>
            <w:noWrap/>
            <w:vAlign w:val="center"/>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Impacts</w:t>
            </w:r>
          </w:p>
        </w:tc>
        <w:tc>
          <w:tcPr>
            <w:tcW w:w="1297" w:type="dxa"/>
            <w:tcBorders>
              <w:top w:val="nil"/>
              <w:left w:val="nil"/>
              <w:bottom w:val="single" w:sz="4" w:space="0" w:color="auto"/>
              <w:right w:val="single" w:sz="4" w:space="0" w:color="auto"/>
            </w:tcBorders>
            <w:shd w:val="clear" w:color="auto" w:fill="auto"/>
            <w:vAlign w:val="center"/>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c>
          <w:tcPr>
            <w:tcW w:w="1297" w:type="dxa"/>
            <w:tcBorders>
              <w:top w:val="nil"/>
              <w:left w:val="nil"/>
              <w:bottom w:val="single" w:sz="4" w:space="0" w:color="auto"/>
              <w:right w:val="single" w:sz="4" w:space="0" w:color="auto"/>
            </w:tcBorders>
            <w:shd w:val="clear" w:color="auto" w:fill="auto"/>
            <w:vAlign w:val="center"/>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Calibri" w:eastAsia="Times New Roman" w:hAnsi="Calibri" w:cs="Calibri"/>
                <w:sz w:val="36"/>
                <w:szCs w:val="36"/>
                <w:lang w:eastAsia="fr-FR"/>
              </w:rPr>
            </w:pPr>
            <w:r w:rsidRPr="002359F5">
              <w:rPr>
                <w:rFonts w:ascii="Calibri" w:eastAsia="Times New Roman" w:hAnsi="Calibri" w:cs="Calibri"/>
                <w:sz w:val="36"/>
                <w:szCs w:val="36"/>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Salaires bruts</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420 000,00</w:t>
            </w:r>
          </w:p>
        </w:tc>
        <w:tc>
          <w:tcPr>
            <w:tcW w:w="1297" w:type="dxa"/>
            <w:tcBorders>
              <w:top w:val="nil"/>
              <w:left w:val="nil"/>
              <w:bottom w:val="single" w:sz="4" w:space="0" w:color="auto"/>
              <w:right w:val="single" w:sz="4" w:space="0" w:color="auto"/>
            </w:tcBorders>
            <w:shd w:val="clear" w:color="FFFF00" w:fill="FFFF00"/>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620 347,78</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200347,78</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Charges sociales</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210 000,00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310 173,89</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100173,89</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BN2</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234 000,00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-66 521,67</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-300521,67</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Impôts sur bénéfices</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78 000,00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-22 173,89</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-100173,89</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BN1 2009</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156 000,00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-44 347,78</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BFR à financer en 2010 pour 2800000 de CA</w:t>
            </w:r>
          </w:p>
        </w:tc>
        <w:tc>
          <w:tcPr>
            <w:tcW w:w="2594" w:type="dxa"/>
            <w:gridSpan w:val="2"/>
            <w:tcBorders>
              <w:top w:val="single" w:sz="4" w:space="0" w:color="auto"/>
              <w:left w:val="nil"/>
              <w:bottom w:val="single" w:sz="4" w:space="0" w:color="auto"/>
              <w:right w:val="nil"/>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47 652,22</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Investissements à financer en janvier 2010</w:t>
            </w:r>
          </w:p>
        </w:tc>
        <w:tc>
          <w:tcPr>
            <w:tcW w:w="2594" w:type="dxa"/>
            <w:gridSpan w:val="2"/>
            <w:tcBorders>
              <w:top w:val="single" w:sz="4" w:space="0" w:color="auto"/>
              <w:left w:val="nil"/>
              <w:bottom w:val="single" w:sz="4" w:space="0" w:color="auto"/>
              <w:right w:val="nil"/>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100 000,00</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Total à autofinancer</w:t>
            </w:r>
          </w:p>
        </w:tc>
        <w:tc>
          <w:tcPr>
            <w:tcW w:w="2594" w:type="dxa"/>
            <w:gridSpan w:val="2"/>
            <w:tcBorders>
              <w:top w:val="single" w:sz="4" w:space="0" w:color="auto"/>
              <w:left w:val="nil"/>
              <w:bottom w:val="single" w:sz="4" w:space="0" w:color="auto"/>
              <w:right w:val="nil"/>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147 652,22</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Amortissements 2009</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192 000,00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192 000,00</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CAF 2009 = BN1 2009 + Amortissements 2009</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348 000,00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147 652,22</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8"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Dividendes distribuables</w:t>
            </w:r>
          </w:p>
        </w:tc>
        <w:tc>
          <w:tcPr>
            <w:tcW w:w="1297" w:type="dxa"/>
            <w:tcBorders>
              <w:top w:val="nil"/>
              <w:left w:val="nil"/>
              <w:bottom w:val="single" w:sz="8" w:space="0" w:color="auto"/>
              <w:right w:val="single" w:sz="4" w:space="0" w:color="auto"/>
            </w:tcBorders>
            <w:shd w:val="clear" w:color="FFFF00" w:fill="FFFF00"/>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200 347,78</w:t>
            </w:r>
          </w:p>
        </w:tc>
        <w:tc>
          <w:tcPr>
            <w:tcW w:w="1297" w:type="dxa"/>
            <w:tcBorders>
              <w:top w:val="nil"/>
              <w:left w:val="nil"/>
              <w:bottom w:val="single" w:sz="8" w:space="0" w:color="auto"/>
              <w:right w:val="single" w:sz="4" w:space="0" w:color="auto"/>
            </w:tcBorders>
            <w:shd w:val="clear" w:color="FFFF00" w:fill="FFFF00"/>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0,00</w:t>
            </w:r>
          </w:p>
        </w:tc>
        <w:tc>
          <w:tcPr>
            <w:tcW w:w="1220" w:type="dxa"/>
            <w:tcBorders>
              <w:top w:val="nil"/>
              <w:left w:val="nil"/>
              <w:bottom w:val="single" w:sz="8"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-200347,778</w:t>
            </w:r>
          </w:p>
        </w:tc>
      </w:tr>
    </w:tbl>
    <w:p w:rsidR="00B35A3D" w:rsidRDefault="00B35A3D" w:rsidP="00B35A3D"/>
    <w:p w:rsidR="00B35A3D" w:rsidRPr="00522343" w:rsidRDefault="00B35A3D" w:rsidP="00B35A3D">
      <w:r>
        <w:t>Grâce à notre tableau Excel, nous avons calculé qu’une augmentation des</w:t>
      </w:r>
      <w:r w:rsidRPr="00522343">
        <w:t xml:space="preserve"> salaires bruts de 50,29087% annule</w:t>
      </w:r>
      <w:r>
        <w:t>rai les dividendes.</w:t>
      </w:r>
    </w:p>
    <w:p w:rsidR="00B35A3D" w:rsidRDefault="00B35A3D" w:rsidP="00B35A3D">
      <w:r>
        <w:t>Le mécanisme impliqué est le suivant : l’augmentation des salaires induit également une augmentation des charges</w:t>
      </w:r>
      <w:r w:rsidRPr="00522343">
        <w:t xml:space="preserve"> sociales. </w:t>
      </w:r>
      <w:r>
        <w:t>Ainsi, l</w:t>
      </w:r>
      <w:r w:rsidRPr="00522343">
        <w:t>e bénéfice diminue</w:t>
      </w:r>
      <w:r>
        <w:t xml:space="preserve"> (ainsi que l’impôt correspondant)</w:t>
      </w:r>
      <w:r w:rsidRPr="00522343">
        <w:t>, jusqu'à ce que les besoins</w:t>
      </w:r>
      <w:r>
        <w:t xml:space="preserve"> en autofinancement soient égaux </w:t>
      </w:r>
      <w:r w:rsidRPr="00522343">
        <w:t xml:space="preserve">au CAF. </w:t>
      </w:r>
    </w:p>
    <w:p w:rsidR="00602DE4" w:rsidRDefault="00B35A3D" w:rsidP="00B35A3D">
      <w:r>
        <w:t>La règle générale</w:t>
      </w:r>
      <w:r w:rsidR="00A46BB2">
        <w:t>,</w:t>
      </w:r>
      <w:r>
        <w:t xml:space="preserve"> que l’on peut en tire</w:t>
      </w:r>
      <w:r w:rsidR="00A46BB2">
        <w:t>, est :</w:t>
      </w:r>
      <w:r>
        <w:t xml:space="preserve"> plus les salaires augmentent, plus les dividendes diminuent.</w:t>
      </w:r>
    </w:p>
    <w:p w:rsidR="00602DE4" w:rsidRDefault="00602DE4">
      <w:r>
        <w:br w:type="page"/>
      </w:r>
    </w:p>
    <w:p w:rsidR="001D35F8" w:rsidRDefault="001D35F8" w:rsidP="001D35F8">
      <w:pPr>
        <w:pStyle w:val="Titre1"/>
      </w:pPr>
      <w:bookmarkStart w:id="10" w:name="_Toc289702393"/>
      <w:r>
        <w:lastRenderedPageBreak/>
        <w:t>Question 6</w:t>
      </w:r>
      <w:bookmarkEnd w:id="10"/>
    </w:p>
    <w:p w:rsidR="00B6584C" w:rsidRDefault="00B6584C" w:rsidP="00B6584C">
      <w:r>
        <w:t>On veut atteindre, en 2009, un BN2 de 284.000 € au lieu de 234.000 €. Il faut jouer sur le coût des achats des matières premières pour arriver à ce nouveau BN2. Il faut un coût d’achat de matières premières de 910 000 € au lieu de 960 000 €, c’est-à-dire une réduction de 5,21%.</w:t>
      </w:r>
    </w:p>
    <w:p w:rsidR="00B6584C" w:rsidRDefault="00B6584C" w:rsidP="00B6584C">
      <w:r>
        <w:tab/>
      </w:r>
    </w:p>
    <w:tbl>
      <w:tblPr>
        <w:tblW w:w="6420" w:type="dxa"/>
        <w:tblInd w:w="55" w:type="dxa"/>
        <w:tblCellMar>
          <w:left w:w="70" w:type="dxa"/>
          <w:right w:w="70" w:type="dxa"/>
        </w:tblCellMar>
        <w:tblLook w:val="04A0"/>
      </w:tblPr>
      <w:tblGrid>
        <w:gridCol w:w="4180"/>
        <w:gridCol w:w="1060"/>
        <w:gridCol w:w="1180"/>
      </w:tblGrid>
      <w:tr w:rsidR="00B6584C" w:rsidRPr="00B348B8" w:rsidTr="007D65E7">
        <w:trPr>
          <w:trHeight w:val="927"/>
        </w:trPr>
        <w:tc>
          <w:tcPr>
            <w:tcW w:w="41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Compte de résultat 2010</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sz w:val="20"/>
                <w:szCs w:val="20"/>
                <w:lang w:eastAsia="fr-FR"/>
              </w:rPr>
            </w:pPr>
            <w:r w:rsidRPr="00B348B8">
              <w:rPr>
                <w:rFonts w:ascii="Arial" w:eastAsia="Times New Roman" w:hAnsi="Arial" w:cs="Arial"/>
                <w:sz w:val="20"/>
                <w:szCs w:val="20"/>
                <w:lang w:eastAsia="fr-FR"/>
              </w:rPr>
              <w:t>Montant</w:t>
            </w:r>
          </w:p>
        </w:tc>
        <w:tc>
          <w:tcPr>
            <w:tcW w:w="1180" w:type="dxa"/>
            <w:tcBorders>
              <w:top w:val="single" w:sz="8" w:space="0" w:color="auto"/>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sz w:val="20"/>
                <w:szCs w:val="20"/>
                <w:lang w:eastAsia="fr-FR"/>
              </w:rPr>
            </w:pPr>
            <w:r w:rsidRPr="00B348B8">
              <w:rPr>
                <w:rFonts w:ascii="Arial" w:eastAsia="Times New Roman" w:hAnsi="Arial" w:cs="Arial"/>
                <w:sz w:val="20"/>
                <w:szCs w:val="20"/>
                <w:lang w:eastAsia="fr-FR"/>
              </w:rPr>
              <w:t>% du CA HT</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CA HT</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2 400 000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Charges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b/>
                <w:bCs/>
                <w:i/>
                <w:iCs/>
                <w:sz w:val="20"/>
                <w:szCs w:val="20"/>
                <w:lang w:eastAsia="fr-FR"/>
              </w:rPr>
            </w:pPr>
            <w:r w:rsidRPr="00B348B8">
              <w:rPr>
                <w:rFonts w:ascii="Arial" w:eastAsia="Times New Roman" w:hAnsi="Arial" w:cs="Arial"/>
                <w:b/>
                <w:bCs/>
                <w:i/>
                <w:iCs/>
                <w:sz w:val="20"/>
                <w:szCs w:val="20"/>
                <w:lang w:eastAsia="fr-FR"/>
              </w:rPr>
              <w:t>Charges variables</w:t>
            </w:r>
          </w:p>
        </w:tc>
        <w:tc>
          <w:tcPr>
            <w:tcW w:w="106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1 900 000</w:t>
            </w:r>
          </w:p>
        </w:tc>
        <w:tc>
          <w:tcPr>
            <w:tcW w:w="1180" w:type="dxa"/>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81,25%</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Achats matières premières</w:t>
            </w:r>
          </w:p>
        </w:tc>
        <w:tc>
          <w:tcPr>
            <w:tcW w:w="1060" w:type="dxa"/>
            <w:tcBorders>
              <w:top w:val="nil"/>
              <w:left w:val="nil"/>
              <w:bottom w:val="single" w:sz="4" w:space="0" w:color="auto"/>
              <w:right w:val="single" w:sz="4"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910 000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40,00%</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Autres approvisionnements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120 000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5,00%</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Services extérieurs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240 000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10,00%</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Salaires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420 000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17,50%</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Charges sociales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210 000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8,75%</w:t>
            </w:r>
          </w:p>
        </w:tc>
      </w:tr>
      <w:tr w:rsidR="00B6584C" w:rsidRPr="00B348B8" w:rsidTr="007D65E7">
        <w:trPr>
          <w:trHeight w:val="76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EBE</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500 000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20,83%</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b/>
                <w:bCs/>
                <w:i/>
                <w:iCs/>
                <w:sz w:val="20"/>
                <w:szCs w:val="20"/>
                <w:lang w:eastAsia="fr-FR"/>
              </w:rPr>
            </w:pPr>
            <w:r w:rsidRPr="00B348B8">
              <w:rPr>
                <w:rFonts w:ascii="Arial" w:eastAsia="Times New Roman" w:hAnsi="Arial" w:cs="Arial"/>
                <w:b/>
                <w:bCs/>
                <w:i/>
                <w:iCs/>
                <w:sz w:val="20"/>
                <w:szCs w:val="20"/>
                <w:lang w:eastAsia="fr-FR"/>
              </w:rPr>
              <w:t>Charges fixes</w:t>
            </w:r>
          </w:p>
        </w:tc>
        <w:tc>
          <w:tcPr>
            <w:tcW w:w="106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80" w:type="dxa"/>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Dotations aux amortissements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192 000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8,00%</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Intérêts d'emprunts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24 000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1,00%</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Total charges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2 116 000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88,17%</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FFFF00" w:fill="FFFF00"/>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BN2 = Résultat avant impôt</w:t>
            </w:r>
          </w:p>
        </w:tc>
        <w:tc>
          <w:tcPr>
            <w:tcW w:w="1060" w:type="dxa"/>
            <w:tcBorders>
              <w:top w:val="nil"/>
              <w:left w:val="nil"/>
              <w:bottom w:val="single" w:sz="4" w:space="0" w:color="auto"/>
              <w:right w:val="single" w:sz="4"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284 000,00</w:t>
            </w:r>
          </w:p>
        </w:tc>
        <w:tc>
          <w:tcPr>
            <w:tcW w:w="1180" w:type="dxa"/>
            <w:tcBorders>
              <w:top w:val="nil"/>
              <w:left w:val="nil"/>
              <w:bottom w:val="single" w:sz="4" w:space="0" w:color="auto"/>
              <w:right w:val="single" w:sz="8"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11,83%</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FFFF00" w:fill="FFFF00"/>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Impôt sur bénéfices = 1/3 BN2</w:t>
            </w:r>
          </w:p>
        </w:tc>
        <w:tc>
          <w:tcPr>
            <w:tcW w:w="1060" w:type="dxa"/>
            <w:tcBorders>
              <w:top w:val="nil"/>
              <w:left w:val="nil"/>
              <w:bottom w:val="single" w:sz="4" w:space="0" w:color="auto"/>
              <w:right w:val="single" w:sz="4"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94 666,67</w:t>
            </w:r>
          </w:p>
        </w:tc>
        <w:tc>
          <w:tcPr>
            <w:tcW w:w="1180" w:type="dxa"/>
            <w:tcBorders>
              <w:top w:val="nil"/>
              <w:left w:val="nil"/>
              <w:bottom w:val="single" w:sz="4" w:space="0" w:color="auto"/>
              <w:right w:val="single" w:sz="8"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3,94%</w:t>
            </w:r>
          </w:p>
        </w:tc>
      </w:tr>
      <w:tr w:rsidR="00B6584C" w:rsidRPr="00B348B8" w:rsidTr="007D65E7">
        <w:trPr>
          <w:trHeight w:val="255"/>
        </w:trPr>
        <w:tc>
          <w:tcPr>
            <w:tcW w:w="4180" w:type="dxa"/>
            <w:tcBorders>
              <w:top w:val="nil"/>
              <w:left w:val="single" w:sz="8" w:space="0" w:color="auto"/>
              <w:bottom w:val="single" w:sz="8" w:space="0" w:color="auto"/>
              <w:right w:val="single" w:sz="4" w:space="0" w:color="auto"/>
            </w:tcBorders>
            <w:shd w:val="clear" w:color="FFFF00" w:fill="FFFF00"/>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BN1 = Résultat d'exploitation après impôt</w:t>
            </w:r>
          </w:p>
        </w:tc>
        <w:tc>
          <w:tcPr>
            <w:tcW w:w="1060" w:type="dxa"/>
            <w:tcBorders>
              <w:top w:val="nil"/>
              <w:left w:val="nil"/>
              <w:bottom w:val="single" w:sz="8" w:space="0" w:color="auto"/>
              <w:right w:val="single" w:sz="4"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189 333,33</w:t>
            </w:r>
          </w:p>
        </w:tc>
        <w:tc>
          <w:tcPr>
            <w:tcW w:w="1180" w:type="dxa"/>
            <w:tcBorders>
              <w:top w:val="nil"/>
              <w:left w:val="nil"/>
              <w:bottom w:val="single" w:sz="8" w:space="0" w:color="auto"/>
              <w:right w:val="single" w:sz="8"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7,89%</w:t>
            </w:r>
          </w:p>
        </w:tc>
      </w:tr>
      <w:tr w:rsidR="00B6584C" w:rsidRPr="00B348B8" w:rsidTr="007D65E7">
        <w:trPr>
          <w:trHeight w:val="255"/>
        </w:trPr>
        <w:tc>
          <w:tcPr>
            <w:tcW w:w="4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06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r w:rsidR="00B6584C" w:rsidRPr="00B348B8" w:rsidTr="007D65E7">
        <w:trPr>
          <w:trHeight w:val="255"/>
        </w:trPr>
        <w:tc>
          <w:tcPr>
            <w:tcW w:w="4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06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r w:rsidR="00B6584C" w:rsidRPr="00B348B8" w:rsidTr="007D65E7">
        <w:trPr>
          <w:trHeight w:val="255"/>
        </w:trPr>
        <w:tc>
          <w:tcPr>
            <w:tcW w:w="4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Pourcentage de baisse du prix des MP</w:t>
            </w:r>
          </w:p>
        </w:tc>
        <w:tc>
          <w:tcPr>
            <w:tcW w:w="106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5,21%</w:t>
            </w:r>
          </w:p>
        </w:tc>
        <w:tc>
          <w:tcPr>
            <w:tcW w:w="1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bl>
    <w:p w:rsidR="00B6584C" w:rsidRDefault="00B6584C" w:rsidP="00B6584C"/>
    <w:p w:rsidR="00602DE4" w:rsidRDefault="00602DE4" w:rsidP="00B6584C"/>
    <w:p w:rsidR="00602DE4" w:rsidRDefault="00602DE4" w:rsidP="00B6584C"/>
    <w:p w:rsidR="00602DE4" w:rsidRDefault="00602DE4" w:rsidP="00B6584C"/>
    <w:p w:rsidR="00602DE4" w:rsidRDefault="00602DE4" w:rsidP="00B6584C"/>
    <w:p w:rsidR="00602DE4" w:rsidRDefault="00602DE4" w:rsidP="00B6584C"/>
    <w:p w:rsidR="00602DE4" w:rsidRDefault="00602DE4" w:rsidP="00B6584C"/>
    <w:p w:rsidR="00B6584C" w:rsidRPr="00386828" w:rsidRDefault="00B6584C" w:rsidP="00B6584C">
      <w:pPr>
        <w:rPr>
          <w:rFonts w:ascii="Arial" w:eastAsia="Times New Roman" w:hAnsi="Arial" w:cs="Arial"/>
          <w:b/>
          <w:bCs/>
          <w:color w:val="FF0000"/>
          <w:sz w:val="20"/>
          <w:szCs w:val="20"/>
          <w:lang w:eastAsia="fr-FR"/>
        </w:rPr>
      </w:pPr>
      <w:r>
        <w:lastRenderedPageBreak/>
        <w:t>Dans ces conditions, le montant du BFR 2009 serait de 38 453,39 € et le ratio BFR/CA HT serait de 1,60 %.</w:t>
      </w:r>
    </w:p>
    <w:p w:rsidR="00B6584C" w:rsidRDefault="00B6584C" w:rsidP="00B6584C"/>
    <w:tbl>
      <w:tblPr>
        <w:tblW w:w="5680" w:type="dxa"/>
        <w:tblInd w:w="55" w:type="dxa"/>
        <w:tblCellMar>
          <w:left w:w="70" w:type="dxa"/>
          <w:right w:w="70" w:type="dxa"/>
        </w:tblCellMar>
        <w:tblLook w:val="04A0"/>
      </w:tblPr>
      <w:tblGrid>
        <w:gridCol w:w="3440"/>
        <w:gridCol w:w="1120"/>
        <w:gridCol w:w="133"/>
        <w:gridCol w:w="987"/>
      </w:tblGrid>
      <w:tr w:rsidR="00B6584C" w:rsidRPr="00B348B8" w:rsidTr="007D65E7">
        <w:trPr>
          <w:trHeight w:val="510"/>
        </w:trPr>
        <w:tc>
          <w:tcPr>
            <w:tcW w:w="34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Actif cyclique</w:t>
            </w:r>
          </w:p>
        </w:tc>
        <w:tc>
          <w:tcPr>
            <w:tcW w:w="1120" w:type="dxa"/>
            <w:gridSpan w:val="2"/>
            <w:tcBorders>
              <w:top w:val="single" w:sz="4" w:space="0" w:color="auto"/>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Passif cyclique</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Stocks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matières premières</w:t>
            </w:r>
          </w:p>
        </w:tc>
        <w:tc>
          <w:tcPr>
            <w:tcW w:w="1120" w:type="dxa"/>
            <w:tcBorders>
              <w:top w:val="nil"/>
              <w:left w:val="nil"/>
              <w:bottom w:val="single" w:sz="4" w:space="0" w:color="auto"/>
              <w:right w:val="single" w:sz="4" w:space="0" w:color="auto"/>
            </w:tcBorders>
            <w:shd w:val="clear" w:color="FFFF00" w:fill="FFFF00"/>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75 833,33</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d'en-cours ou semi-finis</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80 000,00</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produits finis</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53 333,33</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Créances clients (45 j de CA TTC)</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239 200,00</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Dettes fournisseurs d'exploitation</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matières premières (60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FFFF00" w:fill="FFFF00"/>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181 393,33</w:t>
            </w:r>
          </w:p>
        </w:tc>
      </w:tr>
      <w:tr w:rsidR="00B6584C" w:rsidRPr="00B348B8" w:rsidTr="007D65E7">
        <w:trPr>
          <w:trHeight w:val="76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autres approvisionnements (45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17 940,00</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de services (45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35 880,00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TVA sur achats déductible</w:t>
            </w:r>
          </w:p>
        </w:tc>
        <w:tc>
          <w:tcPr>
            <w:tcW w:w="1120" w:type="dxa"/>
            <w:tcBorders>
              <w:top w:val="nil"/>
              <w:left w:val="nil"/>
              <w:bottom w:val="single" w:sz="4" w:space="0" w:color="auto"/>
              <w:right w:val="single" w:sz="4" w:space="0" w:color="auto"/>
            </w:tcBorders>
            <w:shd w:val="clear" w:color="FFFF00" w:fill="FFFF00"/>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24 200,56</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TVA sur ventes collectée</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45 733,33</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 moyenne sur charges sociales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52 500,00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 impôts sur bénéfices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FFFF00" w:fill="FFFF00"/>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94 666,67</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 moyenne sur intérêts d'emprunt</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6 000,00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Total</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472 567,22</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434 113,33</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FFFF00" w:fill="FFFF00"/>
            <w:noWrap/>
            <w:vAlign w:val="center"/>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Nouveau BFR complet</w:t>
            </w:r>
          </w:p>
        </w:tc>
        <w:tc>
          <w:tcPr>
            <w:tcW w:w="2240" w:type="dxa"/>
            <w:gridSpan w:val="3"/>
            <w:tcBorders>
              <w:top w:val="single" w:sz="4" w:space="0" w:color="auto"/>
              <w:left w:val="nil"/>
              <w:bottom w:val="single" w:sz="4" w:space="0" w:color="auto"/>
              <w:right w:val="single" w:sz="4" w:space="0" w:color="auto"/>
            </w:tcBorders>
            <w:shd w:val="clear" w:color="FFFF00" w:fill="FFFF00"/>
            <w:noWrap/>
            <w:vAlign w:val="bottom"/>
            <w:hideMark/>
          </w:tcPr>
          <w:p w:rsidR="00B6584C" w:rsidRPr="00B348B8" w:rsidRDefault="00B6584C" w:rsidP="007D65E7">
            <w:pPr>
              <w:spacing w:after="0" w:line="240" w:lineRule="auto"/>
              <w:jc w:val="center"/>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38 453,89</w:t>
            </w:r>
          </w:p>
        </w:tc>
      </w:tr>
      <w:tr w:rsidR="00B6584C" w:rsidRPr="00B348B8" w:rsidTr="007D65E7">
        <w:trPr>
          <w:trHeight w:val="255"/>
        </w:trPr>
        <w:tc>
          <w:tcPr>
            <w:tcW w:w="3440" w:type="dxa"/>
            <w:tcBorders>
              <w:top w:val="nil"/>
              <w:left w:val="single" w:sz="8" w:space="0" w:color="auto"/>
              <w:bottom w:val="single" w:sz="8" w:space="0" w:color="auto"/>
              <w:right w:val="single" w:sz="4" w:space="0" w:color="auto"/>
            </w:tcBorders>
            <w:shd w:val="clear" w:color="FFFF00" w:fill="FFFF00"/>
            <w:noWrap/>
            <w:vAlign w:val="center"/>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Nouveau RATIO BFR/CA HT</w:t>
            </w:r>
          </w:p>
        </w:tc>
        <w:tc>
          <w:tcPr>
            <w:tcW w:w="2240" w:type="dxa"/>
            <w:gridSpan w:val="3"/>
            <w:tcBorders>
              <w:top w:val="single" w:sz="4" w:space="0" w:color="auto"/>
              <w:left w:val="nil"/>
              <w:bottom w:val="single" w:sz="8" w:space="0" w:color="auto"/>
              <w:right w:val="nil"/>
            </w:tcBorders>
            <w:shd w:val="clear" w:color="FFFF00" w:fill="FFFF00"/>
            <w:noWrap/>
            <w:vAlign w:val="bottom"/>
            <w:hideMark/>
          </w:tcPr>
          <w:p w:rsidR="00B6584C" w:rsidRPr="00B348B8" w:rsidRDefault="00B6584C" w:rsidP="007D65E7">
            <w:pPr>
              <w:spacing w:after="0" w:line="240" w:lineRule="auto"/>
              <w:jc w:val="center"/>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1,60%</w:t>
            </w:r>
          </w:p>
        </w:tc>
      </w:tr>
      <w:tr w:rsidR="00B6584C" w:rsidRPr="00B348B8" w:rsidTr="007D65E7">
        <w:trPr>
          <w:trHeight w:val="255"/>
        </w:trPr>
        <w:tc>
          <w:tcPr>
            <w:tcW w:w="344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253" w:type="dxa"/>
            <w:gridSpan w:val="2"/>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987"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r w:rsidR="00B6584C" w:rsidRPr="00B348B8" w:rsidTr="007D65E7">
        <w:trPr>
          <w:trHeight w:val="255"/>
        </w:trPr>
        <w:tc>
          <w:tcPr>
            <w:tcW w:w="34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Dividendes</w:t>
            </w:r>
          </w:p>
        </w:tc>
        <w:tc>
          <w:tcPr>
            <w:tcW w:w="1253"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B6584C" w:rsidRPr="00B348B8" w:rsidRDefault="00B6584C" w:rsidP="007D65E7">
            <w:pPr>
              <w:spacing w:after="0" w:line="240" w:lineRule="auto"/>
              <w:jc w:val="right"/>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150 879,44</w:t>
            </w:r>
          </w:p>
        </w:tc>
        <w:tc>
          <w:tcPr>
            <w:tcW w:w="987"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bl>
    <w:p w:rsidR="00B6584C" w:rsidRDefault="00B6584C" w:rsidP="00B6584C">
      <w:pPr>
        <w:pStyle w:val="Titre1"/>
      </w:pPr>
      <w:bookmarkStart w:id="11" w:name="_Toc289702394"/>
      <w:r>
        <w:t>Question 7</w:t>
      </w:r>
      <w:bookmarkEnd w:id="11"/>
    </w:p>
    <w:p w:rsidR="00B6584C" w:rsidRDefault="00B6584C" w:rsidP="00B6584C"/>
    <w:p w:rsidR="00B6584C" w:rsidRDefault="00B6584C" w:rsidP="00B6584C">
      <w:r>
        <w:t>On considère désormais que les modifications faites à la question 6 (baisse du prix des matières premières) sont effectives, et qu’on a réussi à négocier un délai de règlement de 90 jours au lieu de 60. Nous avons alors calculé le nouveau montant du BFR 2009 qui s’élèverait à – 52 242,78 €. Le ratio BFR/CA HT serait lui de – 2,18 %.</w:t>
      </w:r>
    </w:p>
    <w:p w:rsidR="00B6584C" w:rsidRDefault="00B6584C" w:rsidP="00B6584C"/>
    <w:p w:rsidR="00B6584C" w:rsidRDefault="00B6584C" w:rsidP="00B6584C"/>
    <w:tbl>
      <w:tblPr>
        <w:tblW w:w="5680" w:type="dxa"/>
        <w:tblInd w:w="55" w:type="dxa"/>
        <w:tblCellMar>
          <w:left w:w="70" w:type="dxa"/>
          <w:right w:w="70" w:type="dxa"/>
        </w:tblCellMar>
        <w:tblLook w:val="04A0"/>
      </w:tblPr>
      <w:tblGrid>
        <w:gridCol w:w="3440"/>
        <w:gridCol w:w="1120"/>
        <w:gridCol w:w="133"/>
        <w:gridCol w:w="987"/>
      </w:tblGrid>
      <w:tr w:rsidR="00B6584C" w:rsidRPr="00B348B8" w:rsidTr="007D65E7">
        <w:trPr>
          <w:trHeight w:val="510"/>
        </w:trPr>
        <w:tc>
          <w:tcPr>
            <w:tcW w:w="34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lastRenderedPageBreak/>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Actif cyclique</w:t>
            </w:r>
          </w:p>
        </w:tc>
        <w:tc>
          <w:tcPr>
            <w:tcW w:w="1120" w:type="dxa"/>
            <w:gridSpan w:val="2"/>
            <w:tcBorders>
              <w:top w:val="single" w:sz="4" w:space="0" w:color="auto"/>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Passif cyclique</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Stocks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matières premières</w:t>
            </w:r>
          </w:p>
        </w:tc>
        <w:tc>
          <w:tcPr>
            <w:tcW w:w="1120" w:type="dxa"/>
            <w:tcBorders>
              <w:top w:val="nil"/>
              <w:left w:val="nil"/>
              <w:bottom w:val="single" w:sz="4" w:space="0" w:color="auto"/>
              <w:right w:val="single" w:sz="4" w:space="0" w:color="auto"/>
            </w:tcBorders>
            <w:shd w:val="clear" w:color="FFFF00" w:fill="FFFF00"/>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75 833,33</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d'en-cours ou semi-finis</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80 000,00</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produits finis</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53 333,33</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Créances clients (45 j de CA TTC)</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239 200,00</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Dettes fournisseurs d'exploitation</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matières premières (60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FFFF00" w:fill="FFFF00"/>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272 090,00</w:t>
            </w:r>
          </w:p>
        </w:tc>
      </w:tr>
      <w:tr w:rsidR="00B6584C" w:rsidRPr="00B348B8" w:rsidTr="007D65E7">
        <w:trPr>
          <w:trHeight w:val="76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autres approvisionnements (45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17 940,00</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de services (45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35 880,00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TVA sur achats déductible</w:t>
            </w:r>
          </w:p>
        </w:tc>
        <w:tc>
          <w:tcPr>
            <w:tcW w:w="1120" w:type="dxa"/>
            <w:tcBorders>
              <w:top w:val="nil"/>
              <w:left w:val="nil"/>
              <w:bottom w:val="single" w:sz="4" w:space="0" w:color="auto"/>
              <w:right w:val="single" w:sz="4" w:space="0" w:color="auto"/>
            </w:tcBorders>
            <w:shd w:val="clear" w:color="FFFF00" w:fill="FFFF00"/>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24 200,56</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TVA sur ventes collectée</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45 733,33</w:t>
            </w:r>
          </w:p>
        </w:tc>
      </w:tr>
      <w:tr w:rsidR="00B6584C" w:rsidRPr="00B348B8" w:rsidTr="007D65E7">
        <w:trPr>
          <w:trHeight w:val="52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 moyenne sur charges sociales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52 500,00</w:t>
            </w:r>
          </w:p>
        </w:tc>
      </w:tr>
      <w:tr w:rsidR="00B6584C" w:rsidRPr="00B348B8" w:rsidTr="007D65E7">
        <w:trPr>
          <w:trHeight w:val="270"/>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 impôts sur bénéfices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FFFF00" w:fill="FFFF00"/>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94 666,67</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 moyenne sur intérêts d'emprunt</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6 000,00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Total</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472 567,22</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524 810,00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FFFF00" w:fill="FFFF00"/>
            <w:noWrap/>
            <w:vAlign w:val="center"/>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Nouveau BFR complet</w:t>
            </w:r>
          </w:p>
        </w:tc>
        <w:tc>
          <w:tcPr>
            <w:tcW w:w="2240" w:type="dxa"/>
            <w:gridSpan w:val="3"/>
            <w:tcBorders>
              <w:top w:val="single" w:sz="4" w:space="0" w:color="auto"/>
              <w:left w:val="nil"/>
              <w:bottom w:val="single" w:sz="4" w:space="0" w:color="auto"/>
              <w:right w:val="single" w:sz="4" w:space="0" w:color="auto"/>
            </w:tcBorders>
            <w:shd w:val="clear" w:color="FFFF00" w:fill="FFFF00"/>
            <w:noWrap/>
            <w:vAlign w:val="bottom"/>
            <w:hideMark/>
          </w:tcPr>
          <w:p w:rsidR="00B6584C" w:rsidRPr="00B348B8" w:rsidRDefault="00B6584C" w:rsidP="007D65E7">
            <w:pPr>
              <w:spacing w:after="0" w:line="240" w:lineRule="auto"/>
              <w:jc w:val="center"/>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-52 242,78</w:t>
            </w:r>
          </w:p>
        </w:tc>
      </w:tr>
      <w:tr w:rsidR="00B6584C" w:rsidRPr="00B348B8" w:rsidTr="007D65E7">
        <w:trPr>
          <w:trHeight w:val="270"/>
        </w:trPr>
        <w:tc>
          <w:tcPr>
            <w:tcW w:w="3440" w:type="dxa"/>
            <w:tcBorders>
              <w:top w:val="nil"/>
              <w:left w:val="single" w:sz="8" w:space="0" w:color="auto"/>
              <w:bottom w:val="single" w:sz="8" w:space="0" w:color="auto"/>
              <w:right w:val="single" w:sz="4" w:space="0" w:color="auto"/>
            </w:tcBorders>
            <w:shd w:val="clear" w:color="FFFF00" w:fill="FFFF00"/>
            <w:noWrap/>
            <w:vAlign w:val="center"/>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Nouveau RATIO BFR/CA HT</w:t>
            </w:r>
          </w:p>
        </w:tc>
        <w:tc>
          <w:tcPr>
            <w:tcW w:w="2240" w:type="dxa"/>
            <w:gridSpan w:val="3"/>
            <w:tcBorders>
              <w:top w:val="single" w:sz="4" w:space="0" w:color="auto"/>
              <w:left w:val="nil"/>
              <w:bottom w:val="single" w:sz="8" w:space="0" w:color="auto"/>
              <w:right w:val="nil"/>
            </w:tcBorders>
            <w:shd w:val="clear" w:color="FFFF00" w:fill="FFFF00"/>
            <w:noWrap/>
            <w:vAlign w:val="bottom"/>
            <w:hideMark/>
          </w:tcPr>
          <w:p w:rsidR="00B6584C" w:rsidRPr="00B348B8" w:rsidRDefault="00B6584C" w:rsidP="007D65E7">
            <w:pPr>
              <w:spacing w:after="0" w:line="240" w:lineRule="auto"/>
              <w:jc w:val="center"/>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-2,18%</w:t>
            </w:r>
          </w:p>
        </w:tc>
      </w:tr>
      <w:tr w:rsidR="00B6584C" w:rsidRPr="00B348B8" w:rsidTr="007D65E7">
        <w:trPr>
          <w:trHeight w:val="255"/>
        </w:trPr>
        <w:tc>
          <w:tcPr>
            <w:tcW w:w="344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253" w:type="dxa"/>
            <w:gridSpan w:val="2"/>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987"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r w:rsidR="00B6584C" w:rsidRPr="00B348B8" w:rsidTr="007D65E7">
        <w:trPr>
          <w:trHeight w:val="255"/>
        </w:trPr>
        <w:tc>
          <w:tcPr>
            <w:tcW w:w="34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Dividendes</w:t>
            </w:r>
          </w:p>
        </w:tc>
        <w:tc>
          <w:tcPr>
            <w:tcW w:w="1253"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B6584C" w:rsidRPr="00B348B8" w:rsidRDefault="00B6584C" w:rsidP="007D65E7">
            <w:pPr>
              <w:spacing w:after="0" w:line="240" w:lineRule="auto"/>
              <w:jc w:val="right"/>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241 576,11</w:t>
            </w:r>
          </w:p>
        </w:tc>
        <w:tc>
          <w:tcPr>
            <w:tcW w:w="987"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bl>
    <w:p w:rsidR="00B6584C" w:rsidRDefault="00B6584C" w:rsidP="00B6584C"/>
    <w:p w:rsidR="00B6584C" w:rsidRDefault="00B6584C" w:rsidP="00B6584C">
      <w:r>
        <w:t>Le montant maximum possible de versement de dividendes prélevés en 2009 et à verser en 2010 tout en préservant l’autofinancement serait alors de 241 576,11 €.</w:t>
      </w:r>
    </w:p>
    <w:p w:rsidR="00B6584C" w:rsidRDefault="00B6584C" w:rsidP="00B6584C">
      <w:r>
        <w:t xml:space="preserve">Cela nous donne donc une différence, selon les conditions de paiement des fournisseurs, de 90 696,67 €. On observe donc que, selon que l’on paie en 60 ou 90 jours, l’entreprise peut gagner ou perdre 90 696,67 €. </w:t>
      </w:r>
      <w:r w:rsidRPr="00D96B55">
        <w:t xml:space="preserve"> </w:t>
      </w:r>
    </w:p>
    <w:p w:rsidR="00BC4CAB" w:rsidRDefault="00BC4CAB" w:rsidP="00B6584C"/>
    <w:p w:rsidR="00BC4CAB" w:rsidRDefault="00BC4CAB" w:rsidP="00B6584C"/>
    <w:p w:rsidR="00BC4CAB" w:rsidRDefault="00BC4CAB" w:rsidP="00B6584C"/>
    <w:p w:rsidR="00BC4CAB" w:rsidRPr="00D96B55" w:rsidRDefault="00BC4CAB" w:rsidP="00B6584C"/>
    <w:p w:rsidR="001D35F8" w:rsidRDefault="001D35F8" w:rsidP="001D35F8">
      <w:pPr>
        <w:pStyle w:val="Titre1"/>
      </w:pPr>
      <w:bookmarkStart w:id="12" w:name="_Toc289702395"/>
      <w:r>
        <w:lastRenderedPageBreak/>
        <w:t>Question 8</w:t>
      </w:r>
      <w:bookmarkEnd w:id="12"/>
    </w:p>
    <w:tbl>
      <w:tblPr>
        <w:tblW w:w="5920" w:type="dxa"/>
        <w:tblInd w:w="55" w:type="dxa"/>
        <w:tblCellMar>
          <w:left w:w="70" w:type="dxa"/>
          <w:right w:w="70" w:type="dxa"/>
        </w:tblCellMar>
        <w:tblLook w:val="04A0"/>
      </w:tblPr>
      <w:tblGrid>
        <w:gridCol w:w="4680"/>
        <w:gridCol w:w="1240"/>
      </w:tblGrid>
      <w:tr w:rsidR="00BC4CAB" w:rsidRPr="009955B5" w:rsidTr="00A536AA">
        <w:trPr>
          <w:trHeight w:val="255"/>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CA HT 2010</w:t>
            </w:r>
          </w:p>
        </w:tc>
        <w:tc>
          <w:tcPr>
            <w:tcW w:w="1240" w:type="dxa"/>
            <w:tcBorders>
              <w:top w:val="single" w:sz="4" w:space="0" w:color="auto"/>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color w:val="FF0000"/>
                <w:sz w:val="20"/>
                <w:szCs w:val="20"/>
                <w:lang w:eastAsia="fr-FR"/>
              </w:rPr>
            </w:pPr>
            <w:r w:rsidRPr="009955B5">
              <w:rPr>
                <w:rFonts w:ascii="Arial" w:eastAsia="Times New Roman" w:hAnsi="Arial" w:cs="Arial"/>
                <w:color w:val="FF0000"/>
                <w:sz w:val="20"/>
                <w:szCs w:val="20"/>
                <w:lang w:eastAsia="fr-FR"/>
              </w:rPr>
              <w:t>2 800 000,00</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CV/CA</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81,25%</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CV 2010</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2 275 000,00</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 </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 </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CF 2010</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236 000,00</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BN2 2010</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289 000,00</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Impôts sur bénéfices 2010</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96 333,33</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BN1 2010</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192 666,67</w:t>
            </w:r>
          </w:p>
        </w:tc>
      </w:tr>
      <w:tr w:rsidR="00BC4CAB" w:rsidRPr="009955B5" w:rsidTr="00A536AA">
        <w:trPr>
          <w:trHeight w:val="255"/>
        </w:trPr>
        <w:tc>
          <w:tcPr>
            <w:tcW w:w="4680" w:type="dxa"/>
            <w:tcBorders>
              <w:top w:val="nil"/>
              <w:left w:val="single" w:sz="8" w:space="0" w:color="auto"/>
              <w:bottom w:val="nil"/>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Dividendes à distribuer en 2011 sur bénéfices 2010</w:t>
            </w:r>
          </w:p>
        </w:tc>
        <w:tc>
          <w:tcPr>
            <w:tcW w:w="1240" w:type="dxa"/>
            <w:tcBorders>
              <w:top w:val="nil"/>
              <w:left w:val="nil"/>
              <w:bottom w:val="nil"/>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color w:val="FF0000"/>
                <w:sz w:val="20"/>
                <w:szCs w:val="20"/>
                <w:lang w:eastAsia="fr-FR"/>
              </w:rPr>
            </w:pPr>
            <w:r w:rsidRPr="009955B5">
              <w:rPr>
                <w:rFonts w:ascii="Arial" w:eastAsia="Times New Roman" w:hAnsi="Arial" w:cs="Arial"/>
                <w:color w:val="FF0000"/>
                <w:sz w:val="20"/>
                <w:szCs w:val="20"/>
                <w:lang w:eastAsia="fr-FR"/>
              </w:rPr>
              <w:t>100 000,00</w:t>
            </w:r>
          </w:p>
        </w:tc>
      </w:tr>
      <w:tr w:rsidR="00BC4CAB" w:rsidRPr="009955B5" w:rsidTr="00A536AA">
        <w:trPr>
          <w:trHeight w:val="255"/>
        </w:trPr>
        <w:tc>
          <w:tcPr>
            <w:tcW w:w="4680" w:type="dxa"/>
            <w:tcBorders>
              <w:top w:val="single" w:sz="8" w:space="0" w:color="auto"/>
              <w:left w:val="single" w:sz="8" w:space="0" w:color="auto"/>
              <w:bottom w:val="single" w:sz="8" w:space="0" w:color="auto"/>
              <w:right w:val="single" w:sz="4" w:space="0" w:color="auto"/>
            </w:tcBorders>
            <w:shd w:val="clear" w:color="FFFF00" w:fill="FFFF00"/>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CAF à fin 2010 pour financer la croissance de 2011</w:t>
            </w:r>
          </w:p>
        </w:tc>
        <w:tc>
          <w:tcPr>
            <w:tcW w:w="1240" w:type="dxa"/>
            <w:tcBorders>
              <w:top w:val="single" w:sz="8" w:space="0" w:color="auto"/>
              <w:left w:val="nil"/>
              <w:bottom w:val="single" w:sz="8" w:space="0" w:color="auto"/>
              <w:right w:val="single" w:sz="8" w:space="0" w:color="auto"/>
            </w:tcBorders>
            <w:shd w:val="clear" w:color="FFFF00" w:fill="FFFF00"/>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304 666,67</w:t>
            </w:r>
          </w:p>
        </w:tc>
      </w:tr>
    </w:tbl>
    <w:p w:rsidR="00BC4CAB" w:rsidRDefault="00BC4CAB" w:rsidP="00BC4CAB"/>
    <w:p w:rsidR="00BC4CAB" w:rsidRDefault="00BC4CAB" w:rsidP="00BC4CAB">
      <w:r>
        <w:t>Les charges variables sont toujours égales à 81,25% du CA.</w:t>
      </w:r>
    </w:p>
    <w:p w:rsidR="00BC4CAB" w:rsidRDefault="00BC4CAB" w:rsidP="00BC4CAB">
      <w:r>
        <w:t>Les charges fixes sont identiques à celles calculées lors de la question 1, mise à part l’ajout des dotations sur amortissement.</w:t>
      </w:r>
    </w:p>
    <w:p w:rsidR="00BC4CAB" w:rsidRPr="00650DA9" w:rsidRDefault="00BC4CAB" w:rsidP="00BC4CAB">
      <w:r>
        <w:t>On recalcule le bénéfice net (BN1), ce qui nous permet enfin de calculer le CAF fin 2010.</w:t>
      </w:r>
    </w:p>
    <w:p w:rsidR="001D35F8" w:rsidRDefault="001D35F8" w:rsidP="001D35F8">
      <w:pPr>
        <w:pStyle w:val="Titre1"/>
      </w:pPr>
      <w:bookmarkStart w:id="13" w:name="_Toc289702396"/>
      <w:r>
        <w:t>Question 9</w:t>
      </w:r>
      <w:bookmarkEnd w:id="13"/>
    </w:p>
    <w:p w:rsidR="00B94684" w:rsidRPr="007F0B76" w:rsidRDefault="00B94684" w:rsidP="00B94684">
      <w:pPr>
        <w:ind w:left="284"/>
      </w:pPr>
      <w:r>
        <w:t>Non effectuée.</w:t>
      </w:r>
    </w:p>
    <w:p w:rsidR="001D35F8" w:rsidRDefault="001D35F8" w:rsidP="001D35F8">
      <w:pPr>
        <w:pStyle w:val="Titre1"/>
      </w:pPr>
      <w:bookmarkStart w:id="14" w:name="_Toc289702397"/>
      <w:r>
        <w:t>Question 10</w:t>
      </w:r>
      <w:bookmarkEnd w:id="14"/>
    </w:p>
    <w:p w:rsidR="007F0B76" w:rsidRPr="007F0B76" w:rsidRDefault="00D71748" w:rsidP="00D71748">
      <w:pPr>
        <w:ind w:left="284"/>
      </w:pPr>
      <w:r>
        <w:t>Non effectuée</w:t>
      </w:r>
      <w:r w:rsidR="00F36F61">
        <w:t>.</w:t>
      </w:r>
    </w:p>
    <w:sectPr w:rsidR="007F0B76" w:rsidRPr="007F0B76" w:rsidSect="00F15EC6">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B265C"/>
    <w:multiLevelType w:val="hybridMultilevel"/>
    <w:tmpl w:val="465A63DE"/>
    <w:lvl w:ilvl="0" w:tplc="FFBEC252">
      <w:start w:val="2"/>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15EC6"/>
    <w:rsid w:val="00013FDB"/>
    <w:rsid w:val="000620B8"/>
    <w:rsid w:val="0010143E"/>
    <w:rsid w:val="00107D2B"/>
    <w:rsid w:val="001149CE"/>
    <w:rsid w:val="001624F5"/>
    <w:rsid w:val="001935C7"/>
    <w:rsid w:val="00196516"/>
    <w:rsid w:val="001A1B02"/>
    <w:rsid w:val="001A6F12"/>
    <w:rsid w:val="001C04A3"/>
    <w:rsid w:val="001D35F8"/>
    <w:rsid w:val="002127CC"/>
    <w:rsid w:val="002201FD"/>
    <w:rsid w:val="0023514C"/>
    <w:rsid w:val="00250468"/>
    <w:rsid w:val="002C244D"/>
    <w:rsid w:val="002D24F0"/>
    <w:rsid w:val="002E77B9"/>
    <w:rsid w:val="002F1D6A"/>
    <w:rsid w:val="003155C7"/>
    <w:rsid w:val="003928B2"/>
    <w:rsid w:val="004459BD"/>
    <w:rsid w:val="00461ED8"/>
    <w:rsid w:val="004B3996"/>
    <w:rsid w:val="004F7A93"/>
    <w:rsid w:val="005021CF"/>
    <w:rsid w:val="005372F6"/>
    <w:rsid w:val="005565EF"/>
    <w:rsid w:val="00570B41"/>
    <w:rsid w:val="00591ED7"/>
    <w:rsid w:val="00593F19"/>
    <w:rsid w:val="005C2A37"/>
    <w:rsid w:val="005D1652"/>
    <w:rsid w:val="005E13B6"/>
    <w:rsid w:val="005E2A4D"/>
    <w:rsid w:val="00602DE4"/>
    <w:rsid w:val="00635748"/>
    <w:rsid w:val="006379E0"/>
    <w:rsid w:val="0066560E"/>
    <w:rsid w:val="006B2777"/>
    <w:rsid w:val="006D34EC"/>
    <w:rsid w:val="006E44AE"/>
    <w:rsid w:val="006E6E08"/>
    <w:rsid w:val="006F752C"/>
    <w:rsid w:val="007070FB"/>
    <w:rsid w:val="0071550B"/>
    <w:rsid w:val="00722F86"/>
    <w:rsid w:val="007378F2"/>
    <w:rsid w:val="00756FBC"/>
    <w:rsid w:val="007A0897"/>
    <w:rsid w:val="007F0B76"/>
    <w:rsid w:val="00814360"/>
    <w:rsid w:val="008432F6"/>
    <w:rsid w:val="008579E1"/>
    <w:rsid w:val="0088225D"/>
    <w:rsid w:val="0088435B"/>
    <w:rsid w:val="008C1DE1"/>
    <w:rsid w:val="008C5A48"/>
    <w:rsid w:val="008D08C3"/>
    <w:rsid w:val="008E1105"/>
    <w:rsid w:val="00900CF1"/>
    <w:rsid w:val="0092501C"/>
    <w:rsid w:val="00951A56"/>
    <w:rsid w:val="009C79C6"/>
    <w:rsid w:val="00A0028F"/>
    <w:rsid w:val="00A46BB2"/>
    <w:rsid w:val="00A533C4"/>
    <w:rsid w:val="00A66969"/>
    <w:rsid w:val="00A70D1E"/>
    <w:rsid w:val="00A93E85"/>
    <w:rsid w:val="00AC44D3"/>
    <w:rsid w:val="00AD60AC"/>
    <w:rsid w:val="00B06D32"/>
    <w:rsid w:val="00B35A3D"/>
    <w:rsid w:val="00B56841"/>
    <w:rsid w:val="00B634E7"/>
    <w:rsid w:val="00B6584C"/>
    <w:rsid w:val="00B717BB"/>
    <w:rsid w:val="00B920A5"/>
    <w:rsid w:val="00B94684"/>
    <w:rsid w:val="00BC4CAB"/>
    <w:rsid w:val="00BC61E9"/>
    <w:rsid w:val="00BD1C57"/>
    <w:rsid w:val="00BF73DE"/>
    <w:rsid w:val="00C60241"/>
    <w:rsid w:val="00C91DF9"/>
    <w:rsid w:val="00CA31FE"/>
    <w:rsid w:val="00CC38FC"/>
    <w:rsid w:val="00D014F0"/>
    <w:rsid w:val="00D671EA"/>
    <w:rsid w:val="00D71748"/>
    <w:rsid w:val="00D81AE5"/>
    <w:rsid w:val="00DE779A"/>
    <w:rsid w:val="00E00A8A"/>
    <w:rsid w:val="00E3311B"/>
    <w:rsid w:val="00E33E27"/>
    <w:rsid w:val="00E42E00"/>
    <w:rsid w:val="00E577BF"/>
    <w:rsid w:val="00E86EAA"/>
    <w:rsid w:val="00ED00F5"/>
    <w:rsid w:val="00EF0C81"/>
    <w:rsid w:val="00F15EC6"/>
    <w:rsid w:val="00F21680"/>
    <w:rsid w:val="00F36F6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BD"/>
  </w:style>
  <w:style w:type="paragraph" w:styleId="Titre1">
    <w:name w:val="heading 1"/>
    <w:basedOn w:val="Normal"/>
    <w:next w:val="Normal"/>
    <w:link w:val="Titre1Car"/>
    <w:uiPriority w:val="9"/>
    <w:qFormat/>
    <w:rsid w:val="00AD6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15EC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F15EC6"/>
    <w:rPr>
      <w:rFonts w:eastAsiaTheme="minorEastAsia"/>
    </w:rPr>
  </w:style>
  <w:style w:type="paragraph" w:styleId="Textedebulles">
    <w:name w:val="Balloon Text"/>
    <w:basedOn w:val="Normal"/>
    <w:link w:val="TextedebullesCar"/>
    <w:uiPriority w:val="99"/>
    <w:semiHidden/>
    <w:unhideWhenUsed/>
    <w:rsid w:val="00F15E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5EC6"/>
    <w:rPr>
      <w:rFonts w:ascii="Tahoma" w:hAnsi="Tahoma" w:cs="Tahoma"/>
      <w:sz w:val="16"/>
      <w:szCs w:val="16"/>
    </w:rPr>
  </w:style>
  <w:style w:type="character" w:customStyle="1" w:styleId="Titre1Car">
    <w:name w:val="Titre 1 Car"/>
    <w:basedOn w:val="Policepardfaut"/>
    <w:link w:val="Titre1"/>
    <w:uiPriority w:val="9"/>
    <w:rsid w:val="00AD60AC"/>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AD60AC"/>
    <w:pPr>
      <w:outlineLvl w:val="9"/>
    </w:pPr>
  </w:style>
  <w:style w:type="paragraph" w:styleId="TM1">
    <w:name w:val="toc 1"/>
    <w:basedOn w:val="Normal"/>
    <w:next w:val="Normal"/>
    <w:autoRedefine/>
    <w:uiPriority w:val="39"/>
    <w:unhideWhenUsed/>
    <w:rsid w:val="001D35F8"/>
    <w:pPr>
      <w:spacing w:after="100"/>
    </w:pPr>
  </w:style>
  <w:style w:type="character" w:styleId="Lienhypertexte">
    <w:name w:val="Hyperlink"/>
    <w:basedOn w:val="Policepardfaut"/>
    <w:uiPriority w:val="99"/>
    <w:unhideWhenUsed/>
    <w:rsid w:val="001D35F8"/>
    <w:rPr>
      <w:color w:val="0000FF" w:themeColor="hyperlink"/>
      <w:u w:val="single"/>
    </w:rPr>
  </w:style>
  <w:style w:type="paragraph" w:styleId="Paragraphedeliste">
    <w:name w:val="List Paragraph"/>
    <w:basedOn w:val="Normal"/>
    <w:uiPriority w:val="34"/>
    <w:qFormat/>
    <w:rsid w:val="002E77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6884387">
      <w:bodyDiv w:val="1"/>
      <w:marLeft w:val="0"/>
      <w:marRight w:val="0"/>
      <w:marTop w:val="0"/>
      <w:marBottom w:val="0"/>
      <w:divBdr>
        <w:top w:val="none" w:sz="0" w:space="0" w:color="auto"/>
        <w:left w:val="none" w:sz="0" w:space="0" w:color="auto"/>
        <w:bottom w:val="none" w:sz="0" w:space="0" w:color="auto"/>
        <w:right w:val="none" w:sz="0" w:space="0" w:color="auto"/>
      </w:divBdr>
    </w:div>
    <w:div w:id="179374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Etude de cas de l’entreprise Batibois. Différents axes d’étude (BFR, CA, Salaires, etc…)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7E7E69-B6C6-4B2B-A328-82E33E9F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11</Pages>
  <Words>2184</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RAPPORT – PROJET BATIBOIS</vt:lpstr>
    </vt:vector>
  </TitlesOfParts>
  <Company>EISTI</Company>
  <LinksUpToDate>false</LinksUpToDate>
  <CharactersWithSpaces>14170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 PROJET BATIBOIS</dc:title>
  <dc:creator>BOILLOT Florent, DELVAUX Nicolas,  HATIER Laurent et MACHIZAUD Andréa</dc:creator>
  <cp:lastModifiedBy>Administrator</cp:lastModifiedBy>
  <cp:revision>104</cp:revision>
  <cp:lastPrinted>2011-04-04T15:46:00Z</cp:lastPrinted>
  <dcterms:created xsi:type="dcterms:W3CDTF">2011-04-03T11:44:00Z</dcterms:created>
  <dcterms:modified xsi:type="dcterms:W3CDTF">2011-04-04T17:21:00Z</dcterms:modified>
</cp:coreProperties>
</file>